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16" w:rsidRPr="0040120E" w:rsidRDefault="00D22E5D" w:rsidP="0040120E">
      <w:pPr>
        <w:autoSpaceDE w:val="0"/>
        <w:autoSpaceDN w:val="0"/>
        <w:adjustRightInd w:val="0"/>
        <w:spacing w:after="199" w:line="275" w:lineRule="auto"/>
        <w:rPr>
          <w:rFonts w:ascii="Times New Roman" w:hAnsi="Times New Roman" w:cs="Times New Roman"/>
        </w:rPr>
      </w:pPr>
      <w:r>
        <w:rPr>
          <w:rFonts w:ascii="Times New Roman" w:hAnsi="Times New Roman" w:cs="Times New Roman"/>
          <w:sz w:val="24"/>
          <w:szCs w:val="24"/>
          <w:lang w:val="en-CA"/>
        </w:rPr>
        <w:t xml:space="preserve"> </w:t>
      </w:r>
      <w:r w:rsidR="0086338E" w:rsidRPr="0086338E">
        <w:rPr>
          <w:rFonts w:ascii="Times New Roman" w:hAnsi="Times New Roman" w:cs="Times New Roman"/>
          <w:sz w:val="24"/>
          <w:szCs w:val="24"/>
          <w:lang w:val="en-CA"/>
        </w:rPr>
        <w:fldChar w:fldCharType="begin"/>
      </w:r>
      <w:r w:rsidR="0086338E" w:rsidRPr="0086338E">
        <w:rPr>
          <w:rFonts w:ascii="Times New Roman" w:hAnsi="Times New Roman" w:cs="Times New Roman"/>
          <w:sz w:val="24"/>
          <w:szCs w:val="24"/>
          <w:lang w:val="en-CA"/>
        </w:rPr>
        <w:instrText xml:space="preserve"> SEQ CHAPTER \h \r 1</w:instrText>
      </w:r>
      <w:r w:rsidR="0086338E" w:rsidRPr="0086338E">
        <w:rPr>
          <w:rFonts w:ascii="Times New Roman" w:hAnsi="Times New Roman" w:cs="Times New Roman"/>
          <w:sz w:val="24"/>
          <w:szCs w:val="24"/>
          <w:lang w:val="en-CA"/>
        </w:rPr>
        <w:fldChar w:fldCharType="end"/>
      </w:r>
    </w:p>
    <w:p w:rsidR="00EE1716" w:rsidRDefault="00EE1716" w:rsidP="00EE1716">
      <w:pPr>
        <w:autoSpaceDE w:val="0"/>
        <w:autoSpaceDN w:val="0"/>
        <w:adjustRightInd w:val="0"/>
        <w:spacing w:after="199" w:line="275" w:lineRule="auto"/>
        <w:jc w:val="center"/>
        <w:rPr>
          <w:rFonts w:ascii="Times New Roman" w:hAnsi="Times New Roman" w:cs="Times New Roman"/>
          <w:sz w:val="36"/>
          <w:szCs w:val="36"/>
        </w:rPr>
      </w:pPr>
    </w:p>
    <w:p w:rsidR="00EE1716" w:rsidRDefault="00EE1716" w:rsidP="00EE1716">
      <w:pPr>
        <w:autoSpaceDE w:val="0"/>
        <w:autoSpaceDN w:val="0"/>
        <w:adjustRightInd w:val="0"/>
        <w:spacing w:after="199" w:line="275" w:lineRule="auto"/>
        <w:jc w:val="center"/>
        <w:rPr>
          <w:rFonts w:ascii="Times New Roman" w:hAnsi="Times New Roman" w:cs="Times New Roman"/>
          <w:sz w:val="36"/>
          <w:szCs w:val="36"/>
        </w:rPr>
      </w:pPr>
    </w:p>
    <w:p w:rsidR="0040120E" w:rsidRDefault="0040120E" w:rsidP="00EE1716">
      <w:pPr>
        <w:autoSpaceDE w:val="0"/>
        <w:autoSpaceDN w:val="0"/>
        <w:adjustRightInd w:val="0"/>
        <w:spacing w:after="199" w:line="275" w:lineRule="auto"/>
        <w:jc w:val="center"/>
        <w:rPr>
          <w:rFonts w:ascii="Times New Roman" w:hAnsi="Times New Roman" w:cs="Times New Roman"/>
          <w:sz w:val="36"/>
          <w:szCs w:val="36"/>
        </w:rPr>
      </w:pPr>
    </w:p>
    <w:p w:rsidR="0040120E" w:rsidRDefault="0040120E" w:rsidP="00EE1716">
      <w:pPr>
        <w:autoSpaceDE w:val="0"/>
        <w:autoSpaceDN w:val="0"/>
        <w:adjustRightInd w:val="0"/>
        <w:spacing w:after="199" w:line="275" w:lineRule="auto"/>
        <w:jc w:val="center"/>
        <w:rPr>
          <w:rFonts w:ascii="Times New Roman" w:hAnsi="Times New Roman" w:cs="Times New Roman"/>
          <w:sz w:val="36"/>
          <w:szCs w:val="36"/>
        </w:rPr>
      </w:pPr>
    </w:p>
    <w:p w:rsidR="0086338E" w:rsidRPr="0086338E" w:rsidRDefault="005F6176" w:rsidP="00EE1716">
      <w:pPr>
        <w:autoSpaceDE w:val="0"/>
        <w:autoSpaceDN w:val="0"/>
        <w:adjustRightInd w:val="0"/>
        <w:spacing w:after="199" w:line="275" w:lineRule="auto"/>
        <w:jc w:val="center"/>
        <w:rPr>
          <w:rFonts w:ascii="Times New Roman" w:hAnsi="Times New Roman" w:cs="Times New Roman"/>
          <w:sz w:val="36"/>
          <w:szCs w:val="36"/>
        </w:rPr>
      </w:pPr>
      <w:r>
        <w:rPr>
          <w:rFonts w:ascii="Times New Roman" w:hAnsi="Times New Roman" w:cs="Times New Roman"/>
          <w:sz w:val="36"/>
          <w:szCs w:val="36"/>
        </w:rPr>
        <w:t>State of Vermont</w:t>
      </w:r>
    </w:p>
    <w:p w:rsidR="0086338E" w:rsidRPr="0086338E" w:rsidRDefault="0086338E" w:rsidP="0086338E">
      <w:pPr>
        <w:autoSpaceDE w:val="0"/>
        <w:autoSpaceDN w:val="0"/>
        <w:adjustRightInd w:val="0"/>
        <w:spacing w:after="199" w:line="275" w:lineRule="auto"/>
        <w:jc w:val="center"/>
        <w:rPr>
          <w:rFonts w:ascii="Times New Roman" w:hAnsi="Times New Roman" w:cs="Times New Roman"/>
          <w:sz w:val="36"/>
          <w:szCs w:val="36"/>
        </w:rPr>
      </w:pPr>
      <w:r w:rsidRPr="0086338E">
        <w:rPr>
          <w:rFonts w:ascii="Times New Roman" w:hAnsi="Times New Roman" w:cs="Times New Roman"/>
          <w:sz w:val="36"/>
          <w:szCs w:val="36"/>
        </w:rPr>
        <w:t>Request for Propo</w:t>
      </w:r>
      <w:r w:rsidR="0099401E">
        <w:rPr>
          <w:rFonts w:ascii="Times New Roman" w:hAnsi="Times New Roman" w:cs="Times New Roman"/>
          <w:sz w:val="36"/>
          <w:szCs w:val="36"/>
        </w:rPr>
        <w:t xml:space="preserve">sals for </w:t>
      </w:r>
      <w:r w:rsidR="005F6176">
        <w:rPr>
          <w:rFonts w:ascii="Times New Roman" w:hAnsi="Times New Roman" w:cs="Times New Roman"/>
          <w:sz w:val="36"/>
          <w:szCs w:val="36"/>
        </w:rPr>
        <w:t xml:space="preserve">the </w:t>
      </w:r>
      <w:r w:rsidR="0099401E">
        <w:rPr>
          <w:rFonts w:ascii="Times New Roman" w:hAnsi="Times New Roman" w:cs="Times New Roman"/>
          <w:sz w:val="36"/>
          <w:szCs w:val="36"/>
        </w:rPr>
        <w:t>Standard-Offer Program</w:t>
      </w:r>
    </w:p>
    <w:p w:rsidR="0086338E" w:rsidRPr="0086338E" w:rsidRDefault="0086338E" w:rsidP="0086338E">
      <w:pPr>
        <w:autoSpaceDE w:val="0"/>
        <w:autoSpaceDN w:val="0"/>
        <w:adjustRightInd w:val="0"/>
        <w:spacing w:after="199" w:line="275" w:lineRule="auto"/>
        <w:jc w:val="center"/>
        <w:rPr>
          <w:rFonts w:ascii="Times New Roman" w:hAnsi="Times New Roman" w:cs="Times New Roman"/>
        </w:rPr>
      </w:pPr>
    </w:p>
    <w:p w:rsidR="0086338E" w:rsidRPr="0086338E" w:rsidRDefault="0086338E" w:rsidP="0086338E">
      <w:pPr>
        <w:autoSpaceDE w:val="0"/>
        <w:autoSpaceDN w:val="0"/>
        <w:adjustRightInd w:val="0"/>
        <w:spacing w:after="199" w:line="275" w:lineRule="auto"/>
        <w:jc w:val="center"/>
        <w:rPr>
          <w:rFonts w:ascii="Times New Roman" w:hAnsi="Times New Roman" w:cs="Times New Roman"/>
        </w:rPr>
      </w:pPr>
      <w:r w:rsidRPr="0086338E">
        <w:rPr>
          <w:rFonts w:ascii="Times New Roman" w:hAnsi="Times New Roman" w:cs="Times New Roman"/>
        </w:rPr>
        <w:t>Issued by:</w:t>
      </w:r>
    </w:p>
    <w:p w:rsidR="0086338E" w:rsidRPr="0086338E" w:rsidRDefault="0086338E" w:rsidP="0086338E">
      <w:pPr>
        <w:autoSpaceDE w:val="0"/>
        <w:autoSpaceDN w:val="0"/>
        <w:adjustRightInd w:val="0"/>
        <w:spacing w:after="199" w:line="275" w:lineRule="auto"/>
        <w:jc w:val="center"/>
        <w:rPr>
          <w:rFonts w:ascii="Times New Roman" w:hAnsi="Times New Roman" w:cs="Times New Roman"/>
          <w:sz w:val="28"/>
          <w:szCs w:val="28"/>
        </w:rPr>
      </w:pPr>
      <w:r w:rsidRPr="0086338E">
        <w:rPr>
          <w:rFonts w:ascii="Times New Roman" w:hAnsi="Times New Roman" w:cs="Times New Roman"/>
          <w:sz w:val="28"/>
          <w:szCs w:val="28"/>
        </w:rPr>
        <w:t>VEPP Inc.</w:t>
      </w:r>
    </w:p>
    <w:p w:rsidR="0086338E" w:rsidRPr="0086338E" w:rsidRDefault="00072FB5" w:rsidP="0086338E">
      <w:pPr>
        <w:autoSpaceDE w:val="0"/>
        <w:autoSpaceDN w:val="0"/>
        <w:adjustRightInd w:val="0"/>
        <w:spacing w:after="199" w:line="275" w:lineRule="auto"/>
        <w:jc w:val="center"/>
        <w:rPr>
          <w:rFonts w:ascii="Times New Roman" w:hAnsi="Times New Roman" w:cs="Times New Roman"/>
          <w:sz w:val="28"/>
          <w:szCs w:val="28"/>
        </w:rPr>
      </w:pPr>
      <w:r>
        <w:rPr>
          <w:rFonts w:ascii="Times New Roman" w:hAnsi="Times New Roman" w:cs="Times New Roman"/>
          <w:sz w:val="28"/>
          <w:szCs w:val="28"/>
        </w:rPr>
        <w:t xml:space="preserve">Acting as the Standard </w:t>
      </w:r>
      <w:r w:rsidR="002D2EB3">
        <w:rPr>
          <w:rFonts w:ascii="Times New Roman" w:hAnsi="Times New Roman" w:cs="Times New Roman"/>
          <w:sz w:val="28"/>
          <w:szCs w:val="28"/>
        </w:rPr>
        <w:t>Offer</w:t>
      </w:r>
      <w:r w:rsidR="0086338E" w:rsidRPr="0086338E">
        <w:rPr>
          <w:rFonts w:ascii="Times New Roman" w:hAnsi="Times New Roman" w:cs="Times New Roman"/>
          <w:sz w:val="28"/>
          <w:szCs w:val="28"/>
        </w:rPr>
        <w:t xml:space="preserve"> Facilitator</w:t>
      </w:r>
    </w:p>
    <w:p w:rsidR="0086338E" w:rsidRPr="0086338E" w:rsidRDefault="0086338E" w:rsidP="0086338E">
      <w:pPr>
        <w:autoSpaceDE w:val="0"/>
        <w:autoSpaceDN w:val="0"/>
        <w:adjustRightInd w:val="0"/>
        <w:spacing w:after="199" w:line="275" w:lineRule="auto"/>
        <w:jc w:val="center"/>
        <w:rPr>
          <w:rFonts w:ascii="Times New Roman" w:hAnsi="Times New Roman" w:cs="Times New Roman"/>
        </w:rPr>
      </w:pPr>
    </w:p>
    <w:p w:rsidR="0086338E" w:rsidRPr="0086338E" w:rsidRDefault="0086338E" w:rsidP="0086338E">
      <w:pPr>
        <w:autoSpaceDE w:val="0"/>
        <w:autoSpaceDN w:val="0"/>
        <w:adjustRightInd w:val="0"/>
        <w:spacing w:after="199" w:line="275" w:lineRule="auto"/>
        <w:jc w:val="center"/>
        <w:rPr>
          <w:rFonts w:ascii="Times New Roman" w:hAnsi="Times New Roman" w:cs="Times New Roman"/>
        </w:rPr>
      </w:pPr>
      <w:r w:rsidRPr="0086338E">
        <w:rPr>
          <w:rFonts w:ascii="Times New Roman" w:hAnsi="Times New Roman" w:cs="Times New Roman"/>
        </w:rPr>
        <w:t>For issuance on:</w:t>
      </w:r>
    </w:p>
    <w:p w:rsidR="0086338E" w:rsidRDefault="00836E3B" w:rsidP="0086338E">
      <w:pPr>
        <w:autoSpaceDE w:val="0"/>
        <w:autoSpaceDN w:val="0"/>
        <w:adjustRightInd w:val="0"/>
        <w:spacing w:after="199" w:line="275"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C6514C">
        <w:rPr>
          <w:rFonts w:ascii="Times New Roman" w:hAnsi="Times New Roman" w:cs="Times New Roman"/>
          <w:sz w:val="24"/>
          <w:szCs w:val="24"/>
        </w:rPr>
        <w:t>2</w:t>
      </w:r>
      <w:r>
        <w:rPr>
          <w:rFonts w:ascii="Times New Roman" w:hAnsi="Times New Roman" w:cs="Times New Roman"/>
          <w:sz w:val="24"/>
          <w:szCs w:val="24"/>
        </w:rPr>
        <w:t>, 2018</w:t>
      </w:r>
    </w:p>
    <w:p w:rsidR="0040120E" w:rsidRDefault="0040120E" w:rsidP="0086338E">
      <w:pPr>
        <w:autoSpaceDE w:val="0"/>
        <w:autoSpaceDN w:val="0"/>
        <w:adjustRightInd w:val="0"/>
        <w:spacing w:after="199" w:line="275" w:lineRule="auto"/>
        <w:jc w:val="center"/>
        <w:rPr>
          <w:rFonts w:ascii="Times New Roman" w:hAnsi="Times New Roman" w:cs="Times New Roman"/>
        </w:rPr>
      </w:pPr>
      <w:r>
        <w:rPr>
          <w:rFonts w:ascii="Times New Roman" w:hAnsi="Times New Roman" w:cs="Times New Roman"/>
        </w:rPr>
        <w:br w:type="page"/>
      </w:r>
    </w:p>
    <w:p w:rsidR="00941D8D" w:rsidRPr="0086338E" w:rsidRDefault="00941D8D" w:rsidP="0086338E">
      <w:pPr>
        <w:autoSpaceDE w:val="0"/>
        <w:autoSpaceDN w:val="0"/>
        <w:adjustRightInd w:val="0"/>
        <w:spacing w:after="199" w:line="275" w:lineRule="auto"/>
        <w:jc w:val="center"/>
        <w:rPr>
          <w:rFonts w:ascii="Times New Roman" w:hAnsi="Times New Roman" w:cs="Times New Roman"/>
        </w:rPr>
      </w:pPr>
    </w:p>
    <w:p w:rsidR="0086338E" w:rsidRPr="0086338E" w:rsidRDefault="0086338E" w:rsidP="0086338E">
      <w:pPr>
        <w:autoSpaceDE w:val="0"/>
        <w:autoSpaceDN w:val="0"/>
        <w:adjustRightInd w:val="0"/>
        <w:spacing w:after="199" w:line="275" w:lineRule="auto"/>
        <w:jc w:val="center"/>
        <w:rPr>
          <w:rFonts w:ascii="Times New Roman" w:hAnsi="Times New Roman" w:cs="Times New Roman"/>
          <w:sz w:val="36"/>
          <w:szCs w:val="36"/>
        </w:rPr>
        <w:sectPr w:rsidR="0086338E" w:rsidRPr="0086338E" w:rsidSect="0040120E">
          <w:footerReference w:type="default" r:id="rId8"/>
          <w:type w:val="continuous"/>
          <w:pgSz w:w="12240" w:h="15840" w:code="1"/>
          <w:pgMar w:top="1440" w:right="1440" w:bottom="1440" w:left="1440" w:header="720" w:footer="720" w:gutter="0"/>
          <w:cols w:space="720"/>
          <w:noEndnote/>
        </w:sectPr>
      </w:pPr>
    </w:p>
    <w:sdt>
      <w:sdtPr>
        <w:rPr>
          <w:rFonts w:asciiTheme="minorHAnsi" w:eastAsiaTheme="minorHAnsi" w:hAnsiTheme="minorHAnsi" w:cstheme="minorBidi"/>
          <w:b w:val="0"/>
          <w:bCs w:val="0"/>
          <w:color w:val="auto"/>
          <w:sz w:val="22"/>
          <w:szCs w:val="22"/>
          <w:lang w:eastAsia="en-US"/>
        </w:rPr>
        <w:id w:val="-224295910"/>
        <w:docPartObj>
          <w:docPartGallery w:val="Table of Contents"/>
          <w:docPartUnique/>
        </w:docPartObj>
      </w:sdtPr>
      <w:sdtEndPr>
        <w:rPr>
          <w:noProof/>
        </w:rPr>
      </w:sdtEndPr>
      <w:sdtContent>
        <w:p w:rsidR="00F15308" w:rsidRPr="00F15308" w:rsidRDefault="001655BB" w:rsidP="00A75EAA">
          <w:pPr>
            <w:pStyle w:val="TOCHeading"/>
            <w:spacing w:before="120"/>
            <w:rPr>
              <w:rFonts w:ascii="Times New Roman" w:hAnsi="Times New Roman" w:cs="Times New Roman"/>
              <w:noProof/>
            </w:rPr>
          </w:pPr>
          <w:r w:rsidRPr="001655BB">
            <w:t>Table of Contents</w:t>
          </w:r>
          <w:r w:rsidR="00D70044" w:rsidRPr="001655BB">
            <w:t xml:space="preserve"> </w:t>
          </w:r>
          <w:r w:rsidR="0086338E">
            <w:fldChar w:fldCharType="begin"/>
          </w:r>
          <w:r w:rsidR="0086338E" w:rsidRPr="001655BB">
            <w:instrText xml:space="preserve"> TOC \o "1-3" \h \z \u </w:instrText>
          </w:r>
          <w:r w:rsidR="0086338E">
            <w:fldChar w:fldCharType="separate"/>
          </w:r>
        </w:p>
        <w:p w:rsidR="00F15308" w:rsidRPr="00F15308" w:rsidRDefault="00397C38">
          <w:pPr>
            <w:pStyle w:val="TOC2"/>
            <w:rPr>
              <w:rFonts w:ascii="Times New Roman" w:eastAsiaTheme="minorEastAsia" w:hAnsi="Times New Roman" w:cs="Times New Roman"/>
              <w:noProof/>
            </w:rPr>
          </w:pPr>
          <w:hyperlink w:anchor="_Toc509494710" w:history="1">
            <w:r w:rsidR="00F15308" w:rsidRPr="00F15308">
              <w:rPr>
                <w:rStyle w:val="Hyperlink"/>
                <w:rFonts w:ascii="Times New Roman" w:hAnsi="Times New Roman" w:cs="Times New Roman"/>
                <w:noProof/>
              </w:rPr>
              <w:t>1. Introduction</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_Toc509494710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1</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1" w:history="1">
            <w:r w:rsidR="00F15308" w:rsidRPr="00F15308">
              <w:rPr>
                <w:rStyle w:val="Hyperlink"/>
                <w:rFonts w:ascii="Times New Roman" w:hAnsi="Times New Roman" w:cs="Times New Roman"/>
                <w:noProof/>
              </w:rPr>
              <w:t>1.1 General Requirements</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_Toc509494711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2</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2" w:history="1">
            <w:r w:rsidR="00F15308" w:rsidRPr="00F15308">
              <w:rPr>
                <w:rStyle w:val="Hyperlink"/>
                <w:rFonts w:ascii="Times New Roman" w:hAnsi="Times New Roman" w:cs="Times New Roman"/>
                <w:noProof/>
              </w:rPr>
              <w:t>1.2 Contents of this RFP</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_Toc509494712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2</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3" w:history="1">
            <w:r w:rsidR="00F15308" w:rsidRPr="00F15308">
              <w:rPr>
                <w:rStyle w:val="Hyperlink"/>
                <w:rFonts w:ascii="Times New Roman" w:hAnsi="Times New Roman" w:cs="Times New Roman"/>
                <w:noProof/>
              </w:rPr>
              <w:t>2. RFP Process Overview</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_Toc509494713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3</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4" w:history="1">
            <w:r w:rsidR="00F15308" w:rsidRPr="00F15308">
              <w:rPr>
                <w:rStyle w:val="Hyperlink"/>
                <w:rFonts w:ascii="Times New Roman" w:hAnsi="Times New Roman" w:cs="Times New Roman"/>
                <w:noProof/>
              </w:rPr>
              <w:t>2.1 Schedule</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_Toc509494714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3</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5" w:history="1">
            <w:r w:rsidR="00F15308" w:rsidRPr="00F15308">
              <w:rPr>
                <w:rStyle w:val="Hyperlink"/>
                <w:rFonts w:ascii="Times New Roman" w:hAnsi="Times New Roman" w:cs="Times New Roman"/>
                <w:noProof/>
              </w:rPr>
              <w:t>2.2 Proposal Submission</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_Toc509494715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3</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6" w:history="1">
            <w:r w:rsidR="00F15308" w:rsidRPr="00F15308">
              <w:rPr>
                <w:rStyle w:val="Hyperlink"/>
                <w:rFonts w:ascii="Times New Roman" w:hAnsi="Times New Roman" w:cs="Times New Roman"/>
                <w:noProof/>
              </w:rPr>
              <w:t>2.3 Confidentiality</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_Toc509494716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4</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7" w:history="1">
            <w:r w:rsidR="00F15308" w:rsidRPr="00F15308">
              <w:rPr>
                <w:rStyle w:val="Hyperlink"/>
                <w:rFonts w:ascii="Times New Roman" w:hAnsi="Times New Roman" w:cs="Times New Roman"/>
                <w:noProof/>
              </w:rPr>
              <w:t>2.4 Proposal Security</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_Toc509494717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4</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8" w:history="1">
            <w:r w:rsidR="00F15308" w:rsidRPr="00F15308">
              <w:rPr>
                <w:rStyle w:val="Hyperlink"/>
                <w:rFonts w:ascii="Times New Roman" w:hAnsi="Times New Roman" w:cs="Times New Roman"/>
                <w:noProof/>
              </w:rPr>
              <w:t>2.5 Notification and Selected Proponents</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_Toc509494718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4</w:t>
            </w:r>
            <w:r w:rsidR="00F15308" w:rsidRPr="00F15308">
              <w:rPr>
                <w:rFonts w:ascii="Times New Roman" w:hAnsi="Times New Roman" w:cs="Times New Roman"/>
                <w:noProof/>
                <w:webHidden/>
              </w:rPr>
              <w:fldChar w:fldCharType="end"/>
            </w:r>
          </w:hyperlink>
        </w:p>
        <w:p w:rsidR="00F15308" w:rsidRPr="00F15308" w:rsidRDefault="00397C38">
          <w:pPr>
            <w:pStyle w:val="TOC2"/>
            <w:rPr>
              <w:rFonts w:ascii="Times New Roman" w:eastAsiaTheme="minorEastAsia" w:hAnsi="Times New Roman" w:cs="Times New Roman"/>
              <w:noProof/>
            </w:rPr>
          </w:pPr>
          <w:hyperlink w:anchor="_Toc509494719" w:history="1">
            <w:r w:rsidR="00F15308" w:rsidRPr="00F15308">
              <w:rPr>
                <w:rStyle w:val="Hyperlink"/>
                <w:rFonts w:ascii="Times New Roman" w:hAnsi="Times New Roman" w:cs="Times New Roman"/>
                <w:noProof/>
              </w:rPr>
              <w:t>2.6 Notification to Bidders of Transmission Limitations</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_Toc509494719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5</w:t>
            </w:r>
            <w:r w:rsidR="00F15308" w:rsidRPr="00F15308">
              <w:rPr>
                <w:rFonts w:ascii="Times New Roman" w:hAnsi="Times New Roman" w:cs="Times New Roman"/>
                <w:noProof/>
                <w:webHidden/>
              </w:rPr>
              <w:fldChar w:fldCharType="end"/>
            </w:r>
          </w:hyperlink>
        </w:p>
        <w:p w:rsidR="00F15308" w:rsidRDefault="00397C38">
          <w:pPr>
            <w:pStyle w:val="TOC2"/>
            <w:rPr>
              <w:rFonts w:eastAsiaTheme="minorEastAsia"/>
              <w:noProof/>
            </w:rPr>
          </w:pPr>
          <w:hyperlink w:anchor="_Toc509494720" w:history="1">
            <w:r w:rsidR="00F15308" w:rsidRPr="00F15308">
              <w:rPr>
                <w:rStyle w:val="Hyperlink"/>
                <w:rFonts w:ascii="Times New Roman" w:hAnsi="Times New Roman" w:cs="Times New Roman"/>
                <w:noProof/>
              </w:rPr>
              <w:t>2.7 Notification to Bidders of Contract Requirements</w:t>
            </w:r>
            <w:r w:rsidR="00F15308" w:rsidRPr="00F15308">
              <w:rPr>
                <w:rFonts w:ascii="Times New Roman" w:hAnsi="Times New Roman" w:cs="Times New Roman"/>
                <w:noProof/>
                <w:webHidden/>
              </w:rPr>
              <w:tab/>
            </w:r>
            <w:r w:rsidR="00F15308" w:rsidRPr="00F15308">
              <w:rPr>
                <w:rFonts w:ascii="Times New Roman" w:hAnsi="Times New Roman" w:cs="Times New Roman"/>
                <w:noProof/>
                <w:webHidden/>
              </w:rPr>
              <w:fldChar w:fldCharType="begin"/>
            </w:r>
            <w:r w:rsidR="00F15308" w:rsidRPr="00F15308">
              <w:rPr>
                <w:rFonts w:ascii="Times New Roman" w:hAnsi="Times New Roman" w:cs="Times New Roman"/>
                <w:noProof/>
                <w:webHidden/>
              </w:rPr>
              <w:instrText xml:space="preserve"> PAGEREF _Toc509494720 \h </w:instrText>
            </w:r>
            <w:r w:rsidR="00F15308" w:rsidRPr="00F15308">
              <w:rPr>
                <w:rFonts w:ascii="Times New Roman" w:hAnsi="Times New Roman" w:cs="Times New Roman"/>
                <w:noProof/>
                <w:webHidden/>
              </w:rPr>
            </w:r>
            <w:r w:rsidR="00F15308" w:rsidRPr="00F15308">
              <w:rPr>
                <w:rFonts w:ascii="Times New Roman" w:hAnsi="Times New Roman" w:cs="Times New Roman"/>
                <w:noProof/>
                <w:webHidden/>
              </w:rPr>
              <w:fldChar w:fldCharType="separate"/>
            </w:r>
            <w:r w:rsidR="001D3580">
              <w:rPr>
                <w:rFonts w:ascii="Times New Roman" w:hAnsi="Times New Roman" w:cs="Times New Roman"/>
                <w:noProof/>
                <w:webHidden/>
              </w:rPr>
              <w:t>5</w:t>
            </w:r>
            <w:r w:rsidR="00F15308" w:rsidRPr="00F15308">
              <w:rPr>
                <w:rFonts w:ascii="Times New Roman" w:hAnsi="Times New Roman" w:cs="Times New Roman"/>
                <w:noProof/>
                <w:webHidden/>
              </w:rPr>
              <w:fldChar w:fldCharType="end"/>
            </w:r>
          </w:hyperlink>
        </w:p>
        <w:p w:rsidR="00F15308" w:rsidRDefault="00397C38">
          <w:pPr>
            <w:pStyle w:val="TOC2"/>
            <w:rPr>
              <w:rFonts w:eastAsiaTheme="minorEastAsia"/>
              <w:noProof/>
            </w:rPr>
          </w:pPr>
          <w:hyperlink w:anchor="_Toc509494721" w:history="1">
            <w:r w:rsidR="00F15308" w:rsidRPr="002E155C">
              <w:rPr>
                <w:rStyle w:val="Hyperlink"/>
                <w:rFonts w:ascii="Times New Roman" w:hAnsi="Times New Roman" w:cs="Times New Roman"/>
                <w:noProof/>
              </w:rPr>
              <w:t>3. Proposal Evaluation</w:t>
            </w:r>
            <w:r w:rsidR="00F15308">
              <w:rPr>
                <w:noProof/>
                <w:webHidden/>
              </w:rPr>
              <w:tab/>
            </w:r>
            <w:r w:rsidR="00F15308">
              <w:rPr>
                <w:noProof/>
                <w:webHidden/>
              </w:rPr>
              <w:fldChar w:fldCharType="begin"/>
            </w:r>
            <w:r w:rsidR="00F15308">
              <w:rPr>
                <w:noProof/>
                <w:webHidden/>
              </w:rPr>
              <w:instrText xml:space="preserve"> PAGEREF _Toc509494721 \h </w:instrText>
            </w:r>
            <w:r w:rsidR="00F15308">
              <w:rPr>
                <w:noProof/>
                <w:webHidden/>
              </w:rPr>
            </w:r>
            <w:r w:rsidR="00F15308">
              <w:rPr>
                <w:noProof/>
                <w:webHidden/>
              </w:rPr>
              <w:fldChar w:fldCharType="separate"/>
            </w:r>
            <w:r w:rsidR="001D3580">
              <w:rPr>
                <w:noProof/>
                <w:webHidden/>
              </w:rPr>
              <w:t>6</w:t>
            </w:r>
            <w:r w:rsidR="00F15308">
              <w:rPr>
                <w:noProof/>
                <w:webHidden/>
              </w:rPr>
              <w:fldChar w:fldCharType="end"/>
            </w:r>
          </w:hyperlink>
        </w:p>
        <w:p w:rsidR="00F15308" w:rsidRDefault="00397C38">
          <w:pPr>
            <w:pStyle w:val="TOC2"/>
            <w:rPr>
              <w:rFonts w:eastAsiaTheme="minorEastAsia"/>
              <w:noProof/>
            </w:rPr>
          </w:pPr>
          <w:hyperlink w:anchor="_Toc509494722" w:history="1">
            <w:r w:rsidR="00F15308" w:rsidRPr="002E155C">
              <w:rPr>
                <w:rStyle w:val="Hyperlink"/>
                <w:rFonts w:ascii="Times New Roman" w:hAnsi="Times New Roman" w:cs="Times New Roman"/>
                <w:noProof/>
              </w:rPr>
              <w:t>3.1 Proposal Organization</w:t>
            </w:r>
            <w:r w:rsidR="00F15308">
              <w:rPr>
                <w:noProof/>
                <w:webHidden/>
              </w:rPr>
              <w:tab/>
            </w:r>
            <w:r w:rsidR="00F15308">
              <w:rPr>
                <w:noProof/>
                <w:webHidden/>
              </w:rPr>
              <w:fldChar w:fldCharType="begin"/>
            </w:r>
            <w:r w:rsidR="00F15308">
              <w:rPr>
                <w:noProof/>
                <w:webHidden/>
              </w:rPr>
              <w:instrText xml:space="preserve"> PAGEREF _Toc509494722 \h </w:instrText>
            </w:r>
            <w:r w:rsidR="00F15308">
              <w:rPr>
                <w:noProof/>
                <w:webHidden/>
              </w:rPr>
            </w:r>
            <w:r w:rsidR="00F15308">
              <w:rPr>
                <w:noProof/>
                <w:webHidden/>
              </w:rPr>
              <w:fldChar w:fldCharType="separate"/>
            </w:r>
            <w:r w:rsidR="001D3580">
              <w:rPr>
                <w:noProof/>
                <w:webHidden/>
              </w:rPr>
              <w:t>6</w:t>
            </w:r>
            <w:r w:rsidR="00F15308">
              <w:rPr>
                <w:noProof/>
                <w:webHidden/>
              </w:rPr>
              <w:fldChar w:fldCharType="end"/>
            </w:r>
          </w:hyperlink>
        </w:p>
        <w:p w:rsidR="00F15308" w:rsidRDefault="00397C38">
          <w:pPr>
            <w:pStyle w:val="TOC2"/>
            <w:rPr>
              <w:rFonts w:eastAsiaTheme="minorEastAsia"/>
              <w:noProof/>
            </w:rPr>
          </w:pPr>
          <w:hyperlink w:anchor="_Toc509494723" w:history="1">
            <w:r w:rsidR="00F15308" w:rsidRPr="002E155C">
              <w:rPr>
                <w:rStyle w:val="Hyperlink"/>
                <w:rFonts w:ascii="Times New Roman" w:hAnsi="Times New Roman" w:cs="Times New Roman"/>
                <w:noProof/>
              </w:rPr>
              <w:t>3.2 Mandatory Requirements</w:t>
            </w:r>
            <w:r w:rsidR="00F15308">
              <w:rPr>
                <w:noProof/>
                <w:webHidden/>
              </w:rPr>
              <w:tab/>
            </w:r>
            <w:r w:rsidR="00F15308">
              <w:rPr>
                <w:noProof/>
                <w:webHidden/>
              </w:rPr>
              <w:fldChar w:fldCharType="begin"/>
            </w:r>
            <w:r w:rsidR="00F15308">
              <w:rPr>
                <w:noProof/>
                <w:webHidden/>
              </w:rPr>
              <w:instrText xml:space="preserve"> PAGEREF _Toc509494723 \h </w:instrText>
            </w:r>
            <w:r w:rsidR="00F15308">
              <w:rPr>
                <w:noProof/>
                <w:webHidden/>
              </w:rPr>
            </w:r>
            <w:r w:rsidR="00F15308">
              <w:rPr>
                <w:noProof/>
                <w:webHidden/>
              </w:rPr>
              <w:fldChar w:fldCharType="separate"/>
            </w:r>
            <w:r w:rsidR="001D3580">
              <w:rPr>
                <w:noProof/>
                <w:webHidden/>
              </w:rPr>
              <w:t>6</w:t>
            </w:r>
            <w:r w:rsidR="00F15308">
              <w:rPr>
                <w:noProof/>
                <w:webHidden/>
              </w:rPr>
              <w:fldChar w:fldCharType="end"/>
            </w:r>
          </w:hyperlink>
        </w:p>
        <w:p w:rsidR="00F15308" w:rsidRDefault="00397C38">
          <w:pPr>
            <w:pStyle w:val="TOC2"/>
            <w:rPr>
              <w:rFonts w:eastAsiaTheme="minorEastAsia"/>
              <w:noProof/>
            </w:rPr>
          </w:pPr>
          <w:hyperlink w:anchor="_Toc509494724" w:history="1">
            <w:r w:rsidR="00F15308" w:rsidRPr="002E155C">
              <w:rPr>
                <w:rStyle w:val="Hyperlink"/>
                <w:rFonts w:ascii="Times New Roman" w:hAnsi="Times New Roman" w:cs="Times New Roman"/>
                <w:noProof/>
              </w:rPr>
              <w:t>3.2.1 Proposed Project</w:t>
            </w:r>
            <w:r w:rsidR="00F15308">
              <w:rPr>
                <w:noProof/>
                <w:webHidden/>
              </w:rPr>
              <w:tab/>
            </w:r>
            <w:r w:rsidR="00F15308">
              <w:rPr>
                <w:noProof/>
                <w:webHidden/>
              </w:rPr>
              <w:fldChar w:fldCharType="begin"/>
            </w:r>
            <w:r w:rsidR="00F15308">
              <w:rPr>
                <w:noProof/>
                <w:webHidden/>
              </w:rPr>
              <w:instrText xml:space="preserve"> PAGEREF _Toc509494724 \h </w:instrText>
            </w:r>
            <w:r w:rsidR="00F15308">
              <w:rPr>
                <w:noProof/>
                <w:webHidden/>
              </w:rPr>
            </w:r>
            <w:r w:rsidR="00F15308">
              <w:rPr>
                <w:noProof/>
                <w:webHidden/>
              </w:rPr>
              <w:fldChar w:fldCharType="separate"/>
            </w:r>
            <w:r w:rsidR="001D3580">
              <w:rPr>
                <w:noProof/>
                <w:webHidden/>
              </w:rPr>
              <w:t>6</w:t>
            </w:r>
            <w:r w:rsidR="00F15308">
              <w:rPr>
                <w:noProof/>
                <w:webHidden/>
              </w:rPr>
              <w:fldChar w:fldCharType="end"/>
            </w:r>
          </w:hyperlink>
        </w:p>
        <w:p w:rsidR="00F15308" w:rsidRDefault="00397C38">
          <w:pPr>
            <w:pStyle w:val="TOC2"/>
            <w:rPr>
              <w:rFonts w:eastAsiaTheme="minorEastAsia"/>
              <w:noProof/>
            </w:rPr>
          </w:pPr>
          <w:hyperlink w:anchor="_Toc509494725" w:history="1">
            <w:r w:rsidR="00F15308" w:rsidRPr="002E155C">
              <w:rPr>
                <w:rStyle w:val="Hyperlink"/>
                <w:rFonts w:ascii="Times New Roman" w:hAnsi="Times New Roman" w:cs="Times New Roman"/>
                <w:noProof/>
              </w:rPr>
              <w:t>3.2.2 Site Control</w:t>
            </w:r>
            <w:r w:rsidR="00F15308">
              <w:rPr>
                <w:noProof/>
                <w:webHidden/>
              </w:rPr>
              <w:tab/>
            </w:r>
            <w:r w:rsidR="00F15308">
              <w:rPr>
                <w:noProof/>
                <w:webHidden/>
              </w:rPr>
              <w:fldChar w:fldCharType="begin"/>
            </w:r>
            <w:r w:rsidR="00F15308">
              <w:rPr>
                <w:noProof/>
                <w:webHidden/>
              </w:rPr>
              <w:instrText xml:space="preserve"> PAGEREF _Toc509494725 \h </w:instrText>
            </w:r>
            <w:r w:rsidR="00F15308">
              <w:rPr>
                <w:noProof/>
                <w:webHidden/>
              </w:rPr>
            </w:r>
            <w:r w:rsidR="00F15308">
              <w:rPr>
                <w:noProof/>
                <w:webHidden/>
              </w:rPr>
              <w:fldChar w:fldCharType="separate"/>
            </w:r>
            <w:r w:rsidR="001D3580">
              <w:rPr>
                <w:noProof/>
                <w:webHidden/>
              </w:rPr>
              <w:t>6</w:t>
            </w:r>
            <w:r w:rsidR="00F15308">
              <w:rPr>
                <w:noProof/>
                <w:webHidden/>
              </w:rPr>
              <w:fldChar w:fldCharType="end"/>
            </w:r>
          </w:hyperlink>
        </w:p>
        <w:p w:rsidR="00F15308" w:rsidRDefault="00397C38">
          <w:pPr>
            <w:pStyle w:val="TOC2"/>
            <w:rPr>
              <w:rFonts w:eastAsiaTheme="minorEastAsia"/>
              <w:noProof/>
            </w:rPr>
          </w:pPr>
          <w:hyperlink w:anchor="_Toc509494726" w:history="1">
            <w:r w:rsidR="00F15308" w:rsidRPr="002E155C">
              <w:rPr>
                <w:rStyle w:val="Hyperlink"/>
                <w:rFonts w:ascii="Times New Roman" w:hAnsi="Times New Roman" w:cs="Times New Roman"/>
                <w:noProof/>
              </w:rPr>
              <w:t>3.2.3 Independent Technical Facility</w:t>
            </w:r>
            <w:r w:rsidR="00F15308">
              <w:rPr>
                <w:noProof/>
                <w:webHidden/>
              </w:rPr>
              <w:tab/>
            </w:r>
            <w:r w:rsidR="00F15308">
              <w:rPr>
                <w:noProof/>
                <w:webHidden/>
              </w:rPr>
              <w:fldChar w:fldCharType="begin"/>
            </w:r>
            <w:r w:rsidR="00F15308">
              <w:rPr>
                <w:noProof/>
                <w:webHidden/>
              </w:rPr>
              <w:instrText xml:space="preserve"> PAGEREF _Toc509494726 \h </w:instrText>
            </w:r>
            <w:r w:rsidR="00F15308">
              <w:rPr>
                <w:noProof/>
                <w:webHidden/>
              </w:rPr>
            </w:r>
            <w:r w:rsidR="00F15308">
              <w:rPr>
                <w:noProof/>
                <w:webHidden/>
              </w:rPr>
              <w:fldChar w:fldCharType="separate"/>
            </w:r>
            <w:r w:rsidR="001D3580">
              <w:rPr>
                <w:noProof/>
                <w:webHidden/>
              </w:rPr>
              <w:t>7</w:t>
            </w:r>
            <w:r w:rsidR="00F15308">
              <w:rPr>
                <w:noProof/>
                <w:webHidden/>
              </w:rPr>
              <w:fldChar w:fldCharType="end"/>
            </w:r>
          </w:hyperlink>
        </w:p>
        <w:p w:rsidR="00F15308" w:rsidRDefault="00397C38">
          <w:pPr>
            <w:pStyle w:val="TOC2"/>
            <w:rPr>
              <w:rFonts w:eastAsiaTheme="minorEastAsia"/>
              <w:noProof/>
            </w:rPr>
          </w:pPr>
          <w:hyperlink w:anchor="_Toc509494727" w:history="1">
            <w:r w:rsidR="00F15308" w:rsidRPr="00F15308">
              <w:rPr>
                <w:rStyle w:val="Hyperlink"/>
                <w:rFonts w:ascii="Times New Roman" w:hAnsi="Times New Roman" w:cs="Times New Roman"/>
                <w:noProof/>
              </w:rPr>
              <w:t>3.2.4 Project Map</w:t>
            </w:r>
            <w:r w:rsidR="00F15308">
              <w:rPr>
                <w:noProof/>
                <w:webHidden/>
              </w:rPr>
              <w:tab/>
            </w:r>
            <w:r w:rsidR="00F15308">
              <w:rPr>
                <w:noProof/>
                <w:webHidden/>
              </w:rPr>
              <w:fldChar w:fldCharType="begin"/>
            </w:r>
            <w:r w:rsidR="00F15308">
              <w:rPr>
                <w:noProof/>
                <w:webHidden/>
              </w:rPr>
              <w:instrText xml:space="preserve"> PAGEREF _Toc509494727 \h </w:instrText>
            </w:r>
            <w:r w:rsidR="00F15308">
              <w:rPr>
                <w:noProof/>
                <w:webHidden/>
              </w:rPr>
            </w:r>
            <w:r w:rsidR="00F15308">
              <w:rPr>
                <w:noProof/>
                <w:webHidden/>
              </w:rPr>
              <w:fldChar w:fldCharType="separate"/>
            </w:r>
            <w:r w:rsidR="001D3580">
              <w:rPr>
                <w:noProof/>
                <w:webHidden/>
              </w:rPr>
              <w:t>7</w:t>
            </w:r>
            <w:r w:rsidR="00F15308">
              <w:rPr>
                <w:noProof/>
                <w:webHidden/>
              </w:rPr>
              <w:fldChar w:fldCharType="end"/>
            </w:r>
          </w:hyperlink>
        </w:p>
        <w:p w:rsidR="00F15308" w:rsidRDefault="00397C38">
          <w:pPr>
            <w:pStyle w:val="TOC2"/>
            <w:rPr>
              <w:rFonts w:eastAsiaTheme="minorEastAsia"/>
              <w:noProof/>
            </w:rPr>
          </w:pPr>
          <w:hyperlink w:anchor="_Toc509494728" w:history="1">
            <w:r w:rsidR="00F15308" w:rsidRPr="002E155C">
              <w:rPr>
                <w:rStyle w:val="Hyperlink"/>
                <w:rFonts w:ascii="Times New Roman" w:hAnsi="Times New Roman" w:cs="Times New Roman"/>
                <w:noProof/>
              </w:rPr>
              <w:t>3.3 Evaluation Criteria</w:t>
            </w:r>
            <w:r w:rsidR="00F15308">
              <w:rPr>
                <w:noProof/>
                <w:webHidden/>
              </w:rPr>
              <w:tab/>
            </w:r>
            <w:r w:rsidR="00F15308">
              <w:rPr>
                <w:noProof/>
                <w:webHidden/>
              </w:rPr>
              <w:fldChar w:fldCharType="begin"/>
            </w:r>
            <w:r w:rsidR="00F15308">
              <w:rPr>
                <w:noProof/>
                <w:webHidden/>
              </w:rPr>
              <w:instrText xml:space="preserve"> PAGEREF _Toc509494728 \h </w:instrText>
            </w:r>
            <w:r w:rsidR="00F15308">
              <w:rPr>
                <w:noProof/>
                <w:webHidden/>
              </w:rPr>
            </w:r>
            <w:r w:rsidR="00F15308">
              <w:rPr>
                <w:noProof/>
                <w:webHidden/>
              </w:rPr>
              <w:fldChar w:fldCharType="separate"/>
            </w:r>
            <w:r w:rsidR="001D3580">
              <w:rPr>
                <w:noProof/>
                <w:webHidden/>
              </w:rPr>
              <w:t>7</w:t>
            </w:r>
            <w:r w:rsidR="00F15308">
              <w:rPr>
                <w:noProof/>
                <w:webHidden/>
              </w:rPr>
              <w:fldChar w:fldCharType="end"/>
            </w:r>
          </w:hyperlink>
        </w:p>
        <w:p w:rsidR="00F15308" w:rsidRDefault="00397C38">
          <w:pPr>
            <w:pStyle w:val="TOC2"/>
            <w:rPr>
              <w:rFonts w:eastAsiaTheme="minorEastAsia"/>
              <w:noProof/>
            </w:rPr>
          </w:pPr>
          <w:hyperlink w:anchor="_Toc509494729" w:history="1">
            <w:r w:rsidR="00F15308" w:rsidRPr="002E155C">
              <w:rPr>
                <w:rStyle w:val="Hyperlink"/>
                <w:rFonts w:ascii="Times New Roman" w:hAnsi="Times New Roman" w:cs="Times New Roman"/>
                <w:noProof/>
              </w:rPr>
              <w:t>3.3.1 Selection of Award Group</w:t>
            </w:r>
            <w:r w:rsidR="00F15308">
              <w:rPr>
                <w:noProof/>
                <w:webHidden/>
              </w:rPr>
              <w:tab/>
            </w:r>
            <w:r w:rsidR="00F15308">
              <w:rPr>
                <w:noProof/>
                <w:webHidden/>
              </w:rPr>
              <w:fldChar w:fldCharType="begin"/>
            </w:r>
            <w:r w:rsidR="00F15308">
              <w:rPr>
                <w:noProof/>
                <w:webHidden/>
              </w:rPr>
              <w:instrText xml:space="preserve"> PAGEREF _Toc509494729 \h </w:instrText>
            </w:r>
            <w:r w:rsidR="00F15308">
              <w:rPr>
                <w:noProof/>
                <w:webHidden/>
              </w:rPr>
            </w:r>
            <w:r w:rsidR="00F15308">
              <w:rPr>
                <w:noProof/>
                <w:webHidden/>
              </w:rPr>
              <w:fldChar w:fldCharType="separate"/>
            </w:r>
            <w:r w:rsidR="001D3580">
              <w:rPr>
                <w:noProof/>
                <w:webHidden/>
              </w:rPr>
              <w:t>7</w:t>
            </w:r>
            <w:r w:rsidR="00F15308">
              <w:rPr>
                <w:noProof/>
                <w:webHidden/>
              </w:rPr>
              <w:fldChar w:fldCharType="end"/>
            </w:r>
          </w:hyperlink>
        </w:p>
        <w:p w:rsidR="00F15308" w:rsidRDefault="00397C38">
          <w:pPr>
            <w:pStyle w:val="TOC2"/>
            <w:rPr>
              <w:rFonts w:eastAsiaTheme="minorEastAsia"/>
              <w:noProof/>
            </w:rPr>
          </w:pPr>
          <w:hyperlink w:anchor="_Toc509494730" w:history="1">
            <w:r w:rsidR="00F15308" w:rsidRPr="002E155C">
              <w:rPr>
                <w:rStyle w:val="Hyperlink"/>
                <w:rFonts w:ascii="Times New Roman" w:hAnsi="Times New Roman" w:cs="Times New Roman"/>
                <w:noProof/>
              </w:rPr>
              <w:t>3.3.2 Reserve Group</w:t>
            </w:r>
            <w:r w:rsidR="00F15308">
              <w:rPr>
                <w:noProof/>
                <w:webHidden/>
              </w:rPr>
              <w:tab/>
            </w:r>
            <w:r w:rsidR="00F15308">
              <w:rPr>
                <w:noProof/>
                <w:webHidden/>
              </w:rPr>
              <w:fldChar w:fldCharType="begin"/>
            </w:r>
            <w:r w:rsidR="00F15308">
              <w:rPr>
                <w:noProof/>
                <w:webHidden/>
              </w:rPr>
              <w:instrText xml:space="preserve"> PAGEREF _Toc509494730 \h </w:instrText>
            </w:r>
            <w:r w:rsidR="00F15308">
              <w:rPr>
                <w:noProof/>
                <w:webHidden/>
              </w:rPr>
            </w:r>
            <w:r w:rsidR="00F15308">
              <w:rPr>
                <w:noProof/>
                <w:webHidden/>
              </w:rPr>
              <w:fldChar w:fldCharType="separate"/>
            </w:r>
            <w:r w:rsidR="001D3580">
              <w:rPr>
                <w:noProof/>
                <w:webHidden/>
              </w:rPr>
              <w:t>9</w:t>
            </w:r>
            <w:r w:rsidR="00F15308">
              <w:rPr>
                <w:noProof/>
                <w:webHidden/>
              </w:rPr>
              <w:fldChar w:fldCharType="end"/>
            </w:r>
          </w:hyperlink>
        </w:p>
        <w:p w:rsidR="00F15308" w:rsidRDefault="00397C38">
          <w:pPr>
            <w:pStyle w:val="TOC2"/>
            <w:rPr>
              <w:rFonts w:eastAsiaTheme="minorEastAsia"/>
              <w:noProof/>
            </w:rPr>
          </w:pPr>
          <w:hyperlink w:anchor="_Toc509494731" w:history="1">
            <w:r w:rsidR="00F15308" w:rsidRPr="002E155C">
              <w:rPr>
                <w:rStyle w:val="Hyperlink"/>
                <w:rFonts w:ascii="Times New Roman" w:hAnsi="Times New Roman" w:cs="Times New Roman"/>
                <w:noProof/>
              </w:rPr>
              <w:t>3.3.3 Proposal Pricing</w:t>
            </w:r>
            <w:r w:rsidR="00F15308">
              <w:rPr>
                <w:noProof/>
                <w:webHidden/>
              </w:rPr>
              <w:tab/>
            </w:r>
            <w:r w:rsidR="00F15308">
              <w:rPr>
                <w:noProof/>
                <w:webHidden/>
              </w:rPr>
              <w:fldChar w:fldCharType="begin"/>
            </w:r>
            <w:r w:rsidR="00F15308">
              <w:rPr>
                <w:noProof/>
                <w:webHidden/>
              </w:rPr>
              <w:instrText xml:space="preserve"> PAGEREF _Toc509494731 \h </w:instrText>
            </w:r>
            <w:r w:rsidR="00F15308">
              <w:rPr>
                <w:noProof/>
                <w:webHidden/>
              </w:rPr>
            </w:r>
            <w:r w:rsidR="00F15308">
              <w:rPr>
                <w:noProof/>
                <w:webHidden/>
              </w:rPr>
              <w:fldChar w:fldCharType="separate"/>
            </w:r>
            <w:r w:rsidR="001D3580">
              <w:rPr>
                <w:noProof/>
                <w:webHidden/>
              </w:rPr>
              <w:t>9</w:t>
            </w:r>
            <w:r w:rsidR="00F15308">
              <w:rPr>
                <w:noProof/>
                <w:webHidden/>
              </w:rPr>
              <w:fldChar w:fldCharType="end"/>
            </w:r>
          </w:hyperlink>
        </w:p>
        <w:p w:rsidR="00F15308" w:rsidRDefault="00397C38">
          <w:pPr>
            <w:pStyle w:val="TOC2"/>
            <w:rPr>
              <w:rFonts w:eastAsiaTheme="minorEastAsia"/>
              <w:noProof/>
            </w:rPr>
          </w:pPr>
          <w:hyperlink w:anchor="_Toc509494732" w:history="1">
            <w:r w:rsidR="00F15308" w:rsidRPr="002E155C">
              <w:rPr>
                <w:rStyle w:val="Hyperlink"/>
                <w:rFonts w:ascii="Times New Roman" w:hAnsi="Times New Roman" w:cs="Times New Roman"/>
                <w:noProof/>
              </w:rPr>
              <w:t>3.3.4 Technology-Specific Avoided-Cost Price Caps</w:t>
            </w:r>
            <w:r w:rsidR="00F15308">
              <w:rPr>
                <w:noProof/>
                <w:webHidden/>
              </w:rPr>
              <w:tab/>
            </w:r>
            <w:r w:rsidR="00F15308">
              <w:rPr>
                <w:noProof/>
                <w:webHidden/>
              </w:rPr>
              <w:fldChar w:fldCharType="begin"/>
            </w:r>
            <w:r w:rsidR="00F15308">
              <w:rPr>
                <w:noProof/>
                <w:webHidden/>
              </w:rPr>
              <w:instrText xml:space="preserve"> PAGEREF _Toc509494732 \h </w:instrText>
            </w:r>
            <w:r w:rsidR="00F15308">
              <w:rPr>
                <w:noProof/>
                <w:webHidden/>
              </w:rPr>
            </w:r>
            <w:r w:rsidR="00F15308">
              <w:rPr>
                <w:noProof/>
                <w:webHidden/>
              </w:rPr>
              <w:fldChar w:fldCharType="separate"/>
            </w:r>
            <w:r w:rsidR="001D3580">
              <w:rPr>
                <w:noProof/>
                <w:webHidden/>
              </w:rPr>
              <w:t>10</w:t>
            </w:r>
            <w:r w:rsidR="00F15308">
              <w:rPr>
                <w:noProof/>
                <w:webHidden/>
              </w:rPr>
              <w:fldChar w:fldCharType="end"/>
            </w:r>
          </w:hyperlink>
        </w:p>
        <w:p w:rsidR="00F15308" w:rsidRDefault="00397C38">
          <w:pPr>
            <w:pStyle w:val="TOC2"/>
            <w:rPr>
              <w:rFonts w:eastAsiaTheme="minorEastAsia"/>
              <w:noProof/>
            </w:rPr>
          </w:pPr>
          <w:hyperlink w:anchor="_Toc509494733" w:history="1">
            <w:r w:rsidR="00F15308" w:rsidRPr="002E155C">
              <w:rPr>
                <w:rStyle w:val="Hyperlink"/>
                <w:rFonts w:ascii="Times New Roman" w:hAnsi="Times New Roman" w:cs="Times New Roman"/>
                <w:noProof/>
              </w:rPr>
              <w:t>4. Terms and Conditions</w:t>
            </w:r>
            <w:r w:rsidR="00F15308">
              <w:rPr>
                <w:noProof/>
                <w:webHidden/>
              </w:rPr>
              <w:tab/>
            </w:r>
            <w:r w:rsidR="00F15308">
              <w:rPr>
                <w:noProof/>
                <w:webHidden/>
              </w:rPr>
              <w:fldChar w:fldCharType="begin"/>
            </w:r>
            <w:r w:rsidR="00F15308">
              <w:rPr>
                <w:noProof/>
                <w:webHidden/>
              </w:rPr>
              <w:instrText xml:space="preserve"> PAGEREF _Toc509494733 \h </w:instrText>
            </w:r>
            <w:r w:rsidR="00F15308">
              <w:rPr>
                <w:noProof/>
                <w:webHidden/>
              </w:rPr>
            </w:r>
            <w:r w:rsidR="00F15308">
              <w:rPr>
                <w:noProof/>
                <w:webHidden/>
              </w:rPr>
              <w:fldChar w:fldCharType="separate"/>
            </w:r>
            <w:r w:rsidR="001D3580">
              <w:rPr>
                <w:noProof/>
                <w:webHidden/>
              </w:rPr>
              <w:t>11</w:t>
            </w:r>
            <w:r w:rsidR="00F15308">
              <w:rPr>
                <w:noProof/>
                <w:webHidden/>
              </w:rPr>
              <w:fldChar w:fldCharType="end"/>
            </w:r>
          </w:hyperlink>
        </w:p>
        <w:p w:rsidR="00F15308" w:rsidRDefault="00397C38">
          <w:pPr>
            <w:pStyle w:val="TOC2"/>
            <w:rPr>
              <w:rFonts w:eastAsiaTheme="minorEastAsia"/>
              <w:noProof/>
            </w:rPr>
          </w:pPr>
          <w:hyperlink w:anchor="_Toc509494734" w:history="1">
            <w:r w:rsidR="00F15308" w:rsidRPr="002E155C">
              <w:rPr>
                <w:rStyle w:val="Hyperlink"/>
                <w:rFonts w:ascii="Times New Roman" w:hAnsi="Times New Roman" w:cs="Times New Roman"/>
                <w:noProof/>
              </w:rPr>
              <w:t>4.1 General Terms and Conditions</w:t>
            </w:r>
            <w:r w:rsidR="00F15308">
              <w:rPr>
                <w:noProof/>
                <w:webHidden/>
              </w:rPr>
              <w:tab/>
            </w:r>
            <w:r w:rsidR="00F15308">
              <w:rPr>
                <w:noProof/>
                <w:webHidden/>
              </w:rPr>
              <w:fldChar w:fldCharType="begin"/>
            </w:r>
            <w:r w:rsidR="00F15308">
              <w:rPr>
                <w:noProof/>
                <w:webHidden/>
              </w:rPr>
              <w:instrText xml:space="preserve"> PAGEREF _Toc509494734 \h </w:instrText>
            </w:r>
            <w:r w:rsidR="00F15308">
              <w:rPr>
                <w:noProof/>
                <w:webHidden/>
              </w:rPr>
            </w:r>
            <w:r w:rsidR="00F15308">
              <w:rPr>
                <w:noProof/>
                <w:webHidden/>
              </w:rPr>
              <w:fldChar w:fldCharType="separate"/>
            </w:r>
            <w:r w:rsidR="001D3580">
              <w:rPr>
                <w:noProof/>
                <w:webHidden/>
              </w:rPr>
              <w:t>11</w:t>
            </w:r>
            <w:r w:rsidR="00F15308">
              <w:rPr>
                <w:noProof/>
                <w:webHidden/>
              </w:rPr>
              <w:fldChar w:fldCharType="end"/>
            </w:r>
          </w:hyperlink>
        </w:p>
        <w:p w:rsidR="00F15308" w:rsidRDefault="00397C38">
          <w:pPr>
            <w:pStyle w:val="TOC2"/>
            <w:rPr>
              <w:rFonts w:eastAsiaTheme="minorEastAsia"/>
              <w:noProof/>
            </w:rPr>
          </w:pPr>
          <w:hyperlink w:anchor="_Toc509494735" w:history="1">
            <w:r w:rsidR="00F15308" w:rsidRPr="002E155C">
              <w:rPr>
                <w:rStyle w:val="Hyperlink"/>
                <w:rFonts w:ascii="Times New Roman" w:hAnsi="Times New Roman" w:cs="Times New Roman"/>
                <w:noProof/>
              </w:rPr>
              <w:t>4.2 Proponent Costs and Limitation of Liability</w:t>
            </w:r>
            <w:r w:rsidR="00F15308">
              <w:rPr>
                <w:noProof/>
                <w:webHidden/>
              </w:rPr>
              <w:tab/>
            </w:r>
            <w:r w:rsidR="00F15308">
              <w:rPr>
                <w:noProof/>
                <w:webHidden/>
              </w:rPr>
              <w:fldChar w:fldCharType="begin"/>
            </w:r>
            <w:r w:rsidR="00F15308">
              <w:rPr>
                <w:noProof/>
                <w:webHidden/>
              </w:rPr>
              <w:instrText xml:space="preserve"> PAGEREF _Toc509494735 \h </w:instrText>
            </w:r>
            <w:r w:rsidR="00F15308">
              <w:rPr>
                <w:noProof/>
                <w:webHidden/>
              </w:rPr>
            </w:r>
            <w:r w:rsidR="00F15308">
              <w:rPr>
                <w:noProof/>
                <w:webHidden/>
              </w:rPr>
              <w:fldChar w:fldCharType="separate"/>
            </w:r>
            <w:r w:rsidR="001D3580">
              <w:rPr>
                <w:noProof/>
                <w:webHidden/>
              </w:rPr>
              <w:t>11</w:t>
            </w:r>
            <w:r w:rsidR="00F15308">
              <w:rPr>
                <w:noProof/>
                <w:webHidden/>
              </w:rPr>
              <w:fldChar w:fldCharType="end"/>
            </w:r>
          </w:hyperlink>
        </w:p>
        <w:p w:rsidR="00F15308" w:rsidRDefault="00397C38">
          <w:pPr>
            <w:pStyle w:val="TOC2"/>
            <w:rPr>
              <w:rFonts w:eastAsiaTheme="minorEastAsia"/>
              <w:noProof/>
            </w:rPr>
          </w:pPr>
          <w:hyperlink w:anchor="_Toc509494736" w:history="1">
            <w:r w:rsidR="00F15308" w:rsidRPr="002E155C">
              <w:rPr>
                <w:rStyle w:val="Hyperlink"/>
                <w:rFonts w:ascii="Times New Roman" w:hAnsi="Times New Roman" w:cs="Times New Roman"/>
                <w:noProof/>
              </w:rPr>
              <w:t>4.3 Reserved Rights</w:t>
            </w:r>
            <w:r w:rsidR="00F15308">
              <w:rPr>
                <w:noProof/>
                <w:webHidden/>
              </w:rPr>
              <w:tab/>
            </w:r>
            <w:r w:rsidR="00F15308">
              <w:rPr>
                <w:noProof/>
                <w:webHidden/>
              </w:rPr>
              <w:fldChar w:fldCharType="begin"/>
            </w:r>
            <w:r w:rsidR="00F15308">
              <w:rPr>
                <w:noProof/>
                <w:webHidden/>
              </w:rPr>
              <w:instrText xml:space="preserve"> PAGEREF _Toc509494736 \h </w:instrText>
            </w:r>
            <w:r w:rsidR="00F15308">
              <w:rPr>
                <w:noProof/>
                <w:webHidden/>
              </w:rPr>
            </w:r>
            <w:r w:rsidR="00F15308">
              <w:rPr>
                <w:noProof/>
                <w:webHidden/>
              </w:rPr>
              <w:fldChar w:fldCharType="separate"/>
            </w:r>
            <w:r w:rsidR="001D3580">
              <w:rPr>
                <w:noProof/>
                <w:webHidden/>
              </w:rPr>
              <w:t>11</w:t>
            </w:r>
            <w:r w:rsidR="00F15308">
              <w:rPr>
                <w:noProof/>
                <w:webHidden/>
              </w:rPr>
              <w:fldChar w:fldCharType="end"/>
            </w:r>
          </w:hyperlink>
        </w:p>
        <w:p w:rsidR="00F15308" w:rsidRDefault="00397C38">
          <w:pPr>
            <w:pStyle w:val="TOC2"/>
            <w:rPr>
              <w:rFonts w:eastAsiaTheme="minorEastAsia"/>
              <w:noProof/>
            </w:rPr>
          </w:pPr>
          <w:hyperlink w:anchor="_Toc509494737" w:history="1">
            <w:r w:rsidR="00F15308" w:rsidRPr="002E155C">
              <w:rPr>
                <w:rStyle w:val="Hyperlink"/>
                <w:rFonts w:ascii="Times New Roman" w:hAnsi="Times New Roman" w:cs="Times New Roman"/>
                <w:noProof/>
              </w:rPr>
              <w:t>4.4 Governing Law</w:t>
            </w:r>
            <w:r w:rsidR="00F15308">
              <w:rPr>
                <w:noProof/>
                <w:webHidden/>
              </w:rPr>
              <w:tab/>
            </w:r>
            <w:r w:rsidR="00F15308">
              <w:rPr>
                <w:noProof/>
                <w:webHidden/>
              </w:rPr>
              <w:fldChar w:fldCharType="begin"/>
            </w:r>
            <w:r w:rsidR="00F15308">
              <w:rPr>
                <w:noProof/>
                <w:webHidden/>
              </w:rPr>
              <w:instrText xml:space="preserve"> PAGEREF _Toc509494737 \h </w:instrText>
            </w:r>
            <w:r w:rsidR="00F15308">
              <w:rPr>
                <w:noProof/>
                <w:webHidden/>
              </w:rPr>
            </w:r>
            <w:r w:rsidR="00F15308">
              <w:rPr>
                <w:noProof/>
                <w:webHidden/>
              </w:rPr>
              <w:fldChar w:fldCharType="separate"/>
            </w:r>
            <w:r w:rsidR="001D3580">
              <w:rPr>
                <w:noProof/>
                <w:webHidden/>
              </w:rPr>
              <w:t>11</w:t>
            </w:r>
            <w:r w:rsidR="00F15308">
              <w:rPr>
                <w:noProof/>
                <w:webHidden/>
              </w:rPr>
              <w:fldChar w:fldCharType="end"/>
            </w:r>
          </w:hyperlink>
        </w:p>
        <w:p w:rsidR="00F15308" w:rsidRDefault="00397C38">
          <w:pPr>
            <w:pStyle w:val="TOC2"/>
            <w:rPr>
              <w:rFonts w:eastAsiaTheme="minorEastAsia"/>
              <w:noProof/>
            </w:rPr>
          </w:pPr>
          <w:hyperlink w:anchor="_Toc509494738" w:history="1">
            <w:r w:rsidR="00F15308" w:rsidRPr="002E155C">
              <w:rPr>
                <w:rStyle w:val="Hyperlink"/>
                <w:rFonts w:ascii="Times New Roman" w:hAnsi="Times New Roman" w:cs="Times New Roman"/>
                <w:noProof/>
              </w:rPr>
              <w:t>4.5 Conditional Bids</w:t>
            </w:r>
            <w:r w:rsidR="00F15308">
              <w:rPr>
                <w:noProof/>
                <w:webHidden/>
              </w:rPr>
              <w:tab/>
            </w:r>
            <w:r w:rsidR="00F15308">
              <w:rPr>
                <w:noProof/>
                <w:webHidden/>
              </w:rPr>
              <w:fldChar w:fldCharType="begin"/>
            </w:r>
            <w:r w:rsidR="00F15308">
              <w:rPr>
                <w:noProof/>
                <w:webHidden/>
              </w:rPr>
              <w:instrText xml:space="preserve"> PAGEREF _Toc509494738 \h </w:instrText>
            </w:r>
            <w:r w:rsidR="00F15308">
              <w:rPr>
                <w:noProof/>
                <w:webHidden/>
              </w:rPr>
            </w:r>
            <w:r w:rsidR="00F15308">
              <w:rPr>
                <w:noProof/>
                <w:webHidden/>
              </w:rPr>
              <w:fldChar w:fldCharType="separate"/>
            </w:r>
            <w:r w:rsidR="001D3580">
              <w:rPr>
                <w:noProof/>
                <w:webHidden/>
              </w:rPr>
              <w:t>11</w:t>
            </w:r>
            <w:r w:rsidR="00F15308">
              <w:rPr>
                <w:noProof/>
                <w:webHidden/>
              </w:rPr>
              <w:fldChar w:fldCharType="end"/>
            </w:r>
          </w:hyperlink>
        </w:p>
        <w:p w:rsidR="0086338E" w:rsidRPr="001655BB" w:rsidRDefault="0086338E" w:rsidP="00A75EAA">
          <w:pPr>
            <w:spacing w:after="120"/>
            <w:sectPr w:rsidR="0086338E" w:rsidRPr="001655BB" w:rsidSect="0040120E">
              <w:headerReference w:type="default" r:id="rId9"/>
              <w:footerReference w:type="default" r:id="rId10"/>
              <w:type w:val="continuous"/>
              <w:pgSz w:w="12240" w:h="15840" w:code="1"/>
              <w:pgMar w:top="1440" w:right="1440" w:bottom="1440" w:left="1440" w:header="720" w:footer="720" w:gutter="0"/>
              <w:pgNumType w:fmt="lowerRoman" w:start="1"/>
              <w:cols w:space="720"/>
              <w:noEndnote/>
            </w:sectPr>
          </w:pPr>
          <w:r>
            <w:rPr>
              <w:b/>
              <w:bCs/>
              <w:noProof/>
            </w:rPr>
            <w:fldChar w:fldCharType="end"/>
          </w:r>
        </w:p>
      </w:sdtContent>
    </w:sdt>
    <w:p w:rsidR="0086338E" w:rsidRPr="00060019" w:rsidRDefault="00060019" w:rsidP="00114E0F">
      <w:pPr>
        <w:pStyle w:val="Heading2"/>
        <w:spacing w:after="120"/>
        <w:rPr>
          <w:rFonts w:ascii="Times New Roman" w:hAnsi="Times New Roman" w:cs="Times New Roman"/>
          <w:sz w:val="28"/>
          <w:szCs w:val="28"/>
        </w:rPr>
      </w:pPr>
      <w:bookmarkStart w:id="0" w:name="_Toc349812078"/>
      <w:bookmarkStart w:id="1" w:name="_Toc509494710"/>
      <w:r w:rsidRPr="00060019">
        <w:rPr>
          <w:rFonts w:ascii="Times New Roman" w:hAnsi="Times New Roman" w:cs="Times New Roman"/>
          <w:sz w:val="28"/>
          <w:szCs w:val="28"/>
        </w:rPr>
        <w:lastRenderedPageBreak/>
        <w:t xml:space="preserve">1. </w:t>
      </w:r>
      <w:r w:rsidR="0086338E" w:rsidRPr="00060019">
        <w:rPr>
          <w:rFonts w:ascii="Times New Roman" w:hAnsi="Times New Roman" w:cs="Times New Roman"/>
          <w:sz w:val="28"/>
          <w:szCs w:val="28"/>
        </w:rPr>
        <w:t>Introduction</w:t>
      </w:r>
      <w:bookmarkEnd w:id="0"/>
      <w:bookmarkEnd w:id="1"/>
      <w:r w:rsidR="0086338E" w:rsidRPr="00060019">
        <w:rPr>
          <w:rFonts w:ascii="Times New Roman" w:hAnsi="Times New Roman" w:cs="Times New Roman"/>
          <w:sz w:val="28"/>
          <w:szCs w:val="28"/>
        </w:rPr>
        <w:tab/>
      </w:r>
    </w:p>
    <w:p w:rsidR="00C93E81" w:rsidRPr="00C93E81" w:rsidRDefault="00C93E81" w:rsidP="00C93E81">
      <w:pPr>
        <w:tabs>
          <w:tab w:val="left" w:pos="720"/>
          <w:tab w:val="left" w:pos="2520"/>
        </w:tabs>
        <w:rPr>
          <w:rFonts w:ascii="Times New Roman" w:hAnsi="Times New Roman" w:cs="Times New Roman"/>
        </w:rPr>
      </w:pPr>
      <w:r w:rsidRPr="00C93E81">
        <w:rPr>
          <w:rFonts w:ascii="Times New Roman" w:hAnsi="Times New Roman" w:cs="Times New Roman"/>
        </w:rPr>
        <w:t>Established in 2009, pursuant to 30 V.S.A. § 8005a, the standard-offer program promotes the rapid deployment of small renewable generation.  The Vermont Public Utility Commission (“Commission”) has implement</w:t>
      </w:r>
      <w:r>
        <w:rPr>
          <w:rFonts w:ascii="Times New Roman" w:hAnsi="Times New Roman" w:cs="Times New Roman"/>
        </w:rPr>
        <w:t xml:space="preserve">ed the program through </w:t>
      </w:r>
      <w:r w:rsidRPr="00C93E81">
        <w:rPr>
          <w:rFonts w:ascii="Times New Roman" w:hAnsi="Times New Roman" w:cs="Times New Roman"/>
        </w:rPr>
        <w:t>Orders in Docket</w:t>
      </w:r>
      <w:r>
        <w:rPr>
          <w:rFonts w:ascii="Times New Roman" w:hAnsi="Times New Roman" w:cs="Times New Roman"/>
        </w:rPr>
        <w:t>s 7523, 7533, 7780, 7873, 7874,</w:t>
      </w:r>
      <w:r w:rsidRPr="00C93E81">
        <w:rPr>
          <w:rFonts w:ascii="Times New Roman" w:hAnsi="Times New Roman" w:cs="Times New Roman"/>
        </w:rPr>
        <w:t xml:space="preserve"> </w:t>
      </w:r>
      <w:r>
        <w:rPr>
          <w:rFonts w:ascii="Times New Roman" w:hAnsi="Times New Roman" w:cs="Times New Roman"/>
        </w:rPr>
        <w:t xml:space="preserve">and </w:t>
      </w:r>
      <w:r w:rsidRPr="00C93E81">
        <w:rPr>
          <w:rFonts w:ascii="Times New Roman" w:hAnsi="Times New Roman" w:cs="Times New Roman"/>
        </w:rPr>
        <w:t>8817</w:t>
      </w:r>
      <w:r>
        <w:rPr>
          <w:rFonts w:ascii="Times New Roman" w:hAnsi="Times New Roman" w:cs="Times New Roman"/>
        </w:rPr>
        <w:t>, and most recently Case 17-3935-INV</w:t>
      </w:r>
      <w:r w:rsidRPr="00C93E81">
        <w:rPr>
          <w:rFonts w:ascii="Times New Roman" w:hAnsi="Times New Roman" w:cs="Times New Roman"/>
        </w:rPr>
        <w:t>.</w:t>
      </w:r>
    </w:p>
    <w:p w:rsidR="00C93E81" w:rsidRPr="00C93E81" w:rsidRDefault="00C93E81" w:rsidP="00C93E81">
      <w:pPr>
        <w:tabs>
          <w:tab w:val="left" w:pos="720"/>
          <w:tab w:val="left" w:pos="2520"/>
        </w:tabs>
        <w:rPr>
          <w:rFonts w:ascii="Times New Roman" w:hAnsi="Times New Roman" w:cs="Times New Roman"/>
        </w:rPr>
      </w:pPr>
      <w:r w:rsidRPr="00C93E81">
        <w:rPr>
          <w:rFonts w:ascii="Times New Roman" w:hAnsi="Times New Roman" w:cs="Times New Roman"/>
        </w:rPr>
        <w:t xml:space="preserve">Under the program, Vermont distribution utilities are required to buy renewable power from an eligible generator at a specified price for a specified period of time.  Program costs are distributed among Vermont utilities based on their </w:t>
      </w:r>
      <w:r w:rsidRPr="00C93E81">
        <w:rPr>
          <w:rFonts w:ascii="Times New Roman" w:hAnsi="Times New Roman" w:cs="Times New Roman"/>
          <w:i/>
        </w:rPr>
        <w:t>pro-rata</w:t>
      </w:r>
      <w:r w:rsidRPr="00C93E81">
        <w:rPr>
          <w:rFonts w:ascii="Times New Roman" w:hAnsi="Times New Roman" w:cs="Times New Roman"/>
        </w:rPr>
        <w:t xml:space="preserve"> share of electric sales.  The program is administered by a statewide purchasing agent (“Standard Offer Facilitator”) appointed by the Commission.</w:t>
      </w:r>
      <w:r w:rsidRPr="00C93E81">
        <w:rPr>
          <w:rStyle w:val="FootnoteReference"/>
          <w:rFonts w:ascii="Times New Roman" w:hAnsi="Times New Roman"/>
        </w:rPr>
        <w:footnoteReference w:id="1"/>
      </w:r>
    </w:p>
    <w:p w:rsidR="00843E01" w:rsidRDefault="00C93E81" w:rsidP="00C93E81">
      <w:pPr>
        <w:tabs>
          <w:tab w:val="left" w:pos="720"/>
          <w:tab w:val="left" w:pos="2520"/>
        </w:tabs>
        <w:rPr>
          <w:rFonts w:ascii="Times New Roman" w:hAnsi="Times New Roman" w:cs="Times New Roman"/>
        </w:rPr>
      </w:pPr>
      <w:r w:rsidRPr="00C93E81">
        <w:rPr>
          <w:rFonts w:ascii="Times New Roman" w:hAnsi="Times New Roman" w:cs="Times New Roman"/>
        </w:rPr>
        <w:t xml:space="preserve">Eligible projects can be no larger than 2.2 MW in size and include the following technologies: solar; wind with a capacity of 100 kW or smaller (“small wind”); wind with a capacity greater than 100 kW up to 2.2 MW (“large wind”); farm methane; landfill methane; food waste anaerobic digestion; biomass; and hydroelectric.  </w:t>
      </w:r>
    </w:p>
    <w:p w:rsidR="00C93E81" w:rsidRPr="00C93E81" w:rsidRDefault="00843E01" w:rsidP="00C93E81">
      <w:pPr>
        <w:tabs>
          <w:tab w:val="left" w:pos="720"/>
          <w:tab w:val="left" w:pos="2520"/>
        </w:tabs>
        <w:rPr>
          <w:rFonts w:ascii="Times New Roman" w:hAnsi="Times New Roman" w:cs="Times New Roman"/>
        </w:rPr>
      </w:pPr>
      <w:r w:rsidRPr="00C93E81">
        <w:rPr>
          <w:rFonts w:ascii="Times New Roman" w:hAnsi="Times New Roman" w:cs="Times New Roman"/>
        </w:rPr>
        <w:t xml:space="preserve">The standard-offer program was created with a 50 MW initial program capacity that was expanded to 127.5 MW in 2012.  </w:t>
      </w:r>
      <w:r>
        <w:rPr>
          <w:rFonts w:ascii="Times New Roman" w:hAnsi="Times New Roman" w:cs="Times New Roman"/>
        </w:rPr>
        <w:t>T</w:t>
      </w:r>
      <w:r w:rsidR="00C93E81" w:rsidRPr="00C93E81">
        <w:rPr>
          <w:rFonts w:ascii="Times New Roman" w:hAnsi="Times New Roman" w:cs="Times New Roman"/>
        </w:rPr>
        <w:t>he availab</w:t>
      </w:r>
      <w:r>
        <w:rPr>
          <w:rFonts w:ascii="Times New Roman" w:hAnsi="Times New Roman" w:cs="Times New Roman"/>
        </w:rPr>
        <w:t>le program capacity is</w:t>
      </w:r>
      <w:r w:rsidR="00C93E81" w:rsidRPr="00C93E81">
        <w:rPr>
          <w:rFonts w:ascii="Times New Roman" w:hAnsi="Times New Roman" w:cs="Times New Roman"/>
        </w:rPr>
        <w:t xml:space="preserve"> distributed annually as follows: 5 MW in 2013-2015; 7.5 MW in 2016-2018; and 10 MW available in 2019-2022.  A specific portion of each year’s capacity is reserved for projects proposed by Vermont utilities and is referred to as the Provider Block, with the remainder referred to as the Developer Block.  </w:t>
      </w:r>
      <w:r w:rsidRPr="00C93E81">
        <w:rPr>
          <w:rFonts w:ascii="Times New Roman" w:hAnsi="Times New Roman" w:cs="Times New Roman"/>
        </w:rPr>
        <w:t>Farm methane projects remain outside the program cap (i.e., no restrictions on the number of projects that can participate in the pro</w:t>
      </w:r>
      <w:r>
        <w:rPr>
          <w:rFonts w:ascii="Times New Roman" w:hAnsi="Times New Roman" w:cs="Times New Roman"/>
        </w:rPr>
        <w:t>gram).</w:t>
      </w:r>
    </w:p>
    <w:p w:rsidR="00C93E81" w:rsidRPr="00C93E81" w:rsidRDefault="00C93E81" w:rsidP="00C93E81">
      <w:pPr>
        <w:tabs>
          <w:tab w:val="left" w:pos="720"/>
          <w:tab w:val="left" w:pos="2520"/>
        </w:tabs>
        <w:rPr>
          <w:rFonts w:ascii="Times New Roman" w:hAnsi="Times New Roman" w:cs="Times New Roman"/>
        </w:rPr>
      </w:pPr>
      <w:r w:rsidRPr="00C93E81">
        <w:rPr>
          <w:rFonts w:ascii="Times New Roman" w:hAnsi="Times New Roman" w:cs="Times New Roman"/>
        </w:rPr>
        <w:t xml:space="preserve">Since 2013, </w:t>
      </w:r>
      <w:r w:rsidR="00A02E78">
        <w:rPr>
          <w:rFonts w:ascii="Times New Roman" w:hAnsi="Times New Roman" w:cs="Times New Roman"/>
        </w:rPr>
        <w:t>pursuant to the authority of Title 30 V.S.A. §</w:t>
      </w:r>
      <w:r w:rsidR="00A02E78" w:rsidRPr="0086338E">
        <w:rPr>
          <w:rFonts w:ascii="Times New Roman" w:hAnsi="Times New Roman" w:cs="Times New Roman"/>
        </w:rPr>
        <w:t xml:space="preserve"> 8005</w:t>
      </w:r>
      <w:r w:rsidR="00A02E78">
        <w:rPr>
          <w:rFonts w:ascii="Times New Roman" w:hAnsi="Times New Roman" w:cs="Times New Roman"/>
        </w:rPr>
        <w:t xml:space="preserve">a(f)(1), </w:t>
      </w:r>
      <w:r w:rsidRPr="00C93E81">
        <w:rPr>
          <w:rFonts w:ascii="Times New Roman" w:hAnsi="Times New Roman" w:cs="Times New Roman"/>
        </w:rPr>
        <w:t xml:space="preserve">the Commission has issued an annual request for proposals (“RFP”) to fill the available annual capacity under the program.  Issued by the </w:t>
      </w:r>
      <w:r w:rsidR="00843E01">
        <w:rPr>
          <w:rFonts w:ascii="Times New Roman" w:hAnsi="Times New Roman" w:cs="Times New Roman"/>
        </w:rPr>
        <w:t xml:space="preserve">Standard Offer Facilitator, this </w:t>
      </w:r>
      <w:r w:rsidRPr="00C93E81">
        <w:rPr>
          <w:rFonts w:ascii="Times New Roman" w:hAnsi="Times New Roman" w:cs="Times New Roman"/>
        </w:rPr>
        <w:t>annual RFP specifies annual program capacity, technology allocations, and avoided-cost price caps.</w:t>
      </w:r>
      <w:r w:rsidRPr="00C93E81">
        <w:rPr>
          <w:rStyle w:val="FootnoteReference"/>
          <w:rFonts w:ascii="Times New Roman" w:hAnsi="Times New Roman"/>
        </w:rPr>
        <w:footnoteReference w:id="2"/>
      </w:r>
      <w:r w:rsidRPr="00C93E81">
        <w:rPr>
          <w:rFonts w:ascii="Times New Roman" w:hAnsi="Times New Roman" w:cs="Times New Roman"/>
        </w:rPr>
        <w:t xml:space="preserve">  Under the RFP, lowest-priced bids are awarded annual capacity.  </w:t>
      </w:r>
    </w:p>
    <w:p w:rsidR="0086338E" w:rsidRPr="0086338E" w:rsidRDefault="009374A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For background information</w:t>
      </w:r>
      <w:r w:rsidR="00103651">
        <w:rPr>
          <w:rFonts w:ascii="Times New Roman" w:hAnsi="Times New Roman" w:cs="Times New Roman"/>
        </w:rPr>
        <w:t>,</w:t>
      </w:r>
      <w:r>
        <w:rPr>
          <w:rFonts w:ascii="Times New Roman" w:hAnsi="Times New Roman" w:cs="Times New Roman"/>
        </w:rPr>
        <w:t xml:space="preserve"> p</w:t>
      </w:r>
      <w:r w:rsidR="0086338E" w:rsidRPr="0086338E">
        <w:rPr>
          <w:rFonts w:ascii="Times New Roman" w:hAnsi="Times New Roman" w:cs="Times New Roman"/>
        </w:rPr>
        <w:t>roponents may review</w:t>
      </w:r>
      <w:r w:rsidR="00CA2863">
        <w:rPr>
          <w:rFonts w:ascii="Times New Roman" w:hAnsi="Times New Roman" w:cs="Times New Roman"/>
        </w:rPr>
        <w:t xml:space="preserve"> the</w:t>
      </w:r>
      <w:r w:rsidR="001658C9">
        <w:rPr>
          <w:rFonts w:ascii="Times New Roman" w:hAnsi="Times New Roman" w:cs="Times New Roman"/>
        </w:rPr>
        <w:t xml:space="preserve"> Commission</w:t>
      </w:r>
      <w:r w:rsidR="009A40F3">
        <w:rPr>
          <w:rFonts w:ascii="Times New Roman" w:hAnsi="Times New Roman" w:cs="Times New Roman"/>
        </w:rPr>
        <w:t xml:space="preserve"> orde</w:t>
      </w:r>
      <w:r w:rsidR="001658C9">
        <w:rPr>
          <w:rFonts w:ascii="Times New Roman" w:hAnsi="Times New Roman" w:cs="Times New Roman"/>
        </w:rPr>
        <w:t xml:space="preserve">rs in Dockets 7873 and 7874, </w:t>
      </w:r>
      <w:r w:rsidR="009A40F3">
        <w:rPr>
          <w:rFonts w:ascii="Times New Roman" w:hAnsi="Times New Roman" w:cs="Times New Roman"/>
        </w:rPr>
        <w:t>Docket 8817</w:t>
      </w:r>
      <w:r w:rsidR="001658C9">
        <w:rPr>
          <w:rFonts w:ascii="Times New Roman" w:hAnsi="Times New Roman" w:cs="Times New Roman"/>
        </w:rPr>
        <w:t xml:space="preserve"> and Case 17-3935-INV</w:t>
      </w:r>
      <w:r w:rsidR="009A40F3">
        <w:rPr>
          <w:rFonts w:ascii="Times New Roman" w:hAnsi="Times New Roman" w:cs="Times New Roman"/>
        </w:rPr>
        <w:t xml:space="preserve">, including Order </w:t>
      </w:r>
      <w:r w:rsidR="0086338E" w:rsidRPr="0086338E">
        <w:rPr>
          <w:rFonts w:ascii="Times New Roman" w:hAnsi="Times New Roman" w:cs="Times New Roman"/>
        </w:rPr>
        <w:t xml:space="preserve">of </w:t>
      </w:r>
      <w:r w:rsidR="009A40F3">
        <w:rPr>
          <w:rFonts w:ascii="Times New Roman" w:hAnsi="Times New Roman" w:cs="Times New Roman"/>
        </w:rPr>
        <w:t>3/1/</w:t>
      </w:r>
      <w:r w:rsidR="00886920">
        <w:rPr>
          <w:rFonts w:ascii="Times New Roman" w:hAnsi="Times New Roman" w:cs="Times New Roman"/>
        </w:rPr>
        <w:t>13</w:t>
      </w:r>
      <w:r w:rsidR="004C5BC2">
        <w:rPr>
          <w:rFonts w:ascii="Times New Roman" w:hAnsi="Times New Roman" w:cs="Times New Roman"/>
        </w:rPr>
        <w:t xml:space="preserve"> </w:t>
      </w:r>
      <w:r w:rsidR="0086338E" w:rsidRPr="0086338E">
        <w:rPr>
          <w:rFonts w:ascii="Times New Roman" w:hAnsi="Times New Roman" w:cs="Times New Roman"/>
        </w:rPr>
        <w:t xml:space="preserve">in </w:t>
      </w:r>
      <w:r w:rsidR="00D618C0" w:rsidRPr="0086338E">
        <w:rPr>
          <w:rFonts w:ascii="Times New Roman" w:hAnsi="Times New Roman" w:cs="Times New Roman"/>
        </w:rPr>
        <w:t>Docket</w:t>
      </w:r>
      <w:r w:rsidR="009A40F3">
        <w:rPr>
          <w:rFonts w:ascii="Times New Roman" w:hAnsi="Times New Roman" w:cs="Times New Roman"/>
        </w:rPr>
        <w:t xml:space="preserve">s </w:t>
      </w:r>
      <w:r w:rsidR="0086338E" w:rsidRPr="0086338E">
        <w:rPr>
          <w:rFonts w:ascii="Times New Roman" w:hAnsi="Times New Roman" w:cs="Times New Roman"/>
        </w:rPr>
        <w:t>7873 and 7874</w:t>
      </w:r>
      <w:r w:rsidR="009A40F3">
        <w:rPr>
          <w:rFonts w:ascii="Times New Roman" w:hAnsi="Times New Roman" w:cs="Times New Roman"/>
        </w:rPr>
        <w:t>, Order of 3/2/17 in Docket 8817 (with technical cor</w:t>
      </w:r>
      <w:r w:rsidR="001658C9">
        <w:rPr>
          <w:rFonts w:ascii="Times New Roman" w:hAnsi="Times New Roman" w:cs="Times New Roman"/>
        </w:rPr>
        <w:t xml:space="preserve">rection issued on 3/10/17), </w:t>
      </w:r>
      <w:r w:rsidR="009A40F3">
        <w:rPr>
          <w:rFonts w:ascii="Times New Roman" w:hAnsi="Times New Roman" w:cs="Times New Roman"/>
        </w:rPr>
        <w:t>Order of 3/29/17</w:t>
      </w:r>
      <w:r w:rsidR="00886920">
        <w:rPr>
          <w:rFonts w:ascii="Times New Roman" w:hAnsi="Times New Roman" w:cs="Times New Roman"/>
        </w:rPr>
        <w:t xml:space="preserve"> </w:t>
      </w:r>
      <w:r w:rsidR="009A40F3">
        <w:rPr>
          <w:rFonts w:ascii="Times New Roman" w:hAnsi="Times New Roman" w:cs="Times New Roman"/>
        </w:rPr>
        <w:t>in Docket</w:t>
      </w:r>
      <w:r w:rsidR="00D618C0">
        <w:rPr>
          <w:rFonts w:ascii="Times New Roman" w:hAnsi="Times New Roman" w:cs="Times New Roman"/>
        </w:rPr>
        <w:t xml:space="preserve"> 8817</w:t>
      </w:r>
      <w:r w:rsidR="001658C9">
        <w:rPr>
          <w:rFonts w:ascii="Times New Roman" w:hAnsi="Times New Roman" w:cs="Times New Roman"/>
        </w:rPr>
        <w:t>, and Order of 3/16/18 in Case 17-3935-INV</w:t>
      </w:r>
      <w:r w:rsidR="00D618C0">
        <w:rPr>
          <w:rFonts w:ascii="Times New Roman" w:hAnsi="Times New Roman" w:cs="Times New Roman"/>
        </w:rPr>
        <w:t>.</w:t>
      </w:r>
    </w:p>
    <w:p w:rsidR="0086338E" w:rsidRPr="0086338E" w:rsidRDefault="00863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86338E" w:rsidRDefault="008633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6338E">
        <w:rPr>
          <w:rFonts w:ascii="Times New Roman" w:hAnsi="Times New Roman" w:cs="Times New Roman"/>
        </w:rPr>
        <w:t xml:space="preserve">This RFP outlines the terms and conditions under which eligible projects </w:t>
      </w:r>
      <w:r w:rsidR="009374A8">
        <w:rPr>
          <w:rFonts w:ascii="Times New Roman" w:hAnsi="Times New Roman" w:cs="Times New Roman"/>
        </w:rPr>
        <w:t>are to develop p</w:t>
      </w:r>
      <w:r w:rsidRPr="0086338E">
        <w:rPr>
          <w:rFonts w:ascii="Times New Roman" w:hAnsi="Times New Roman" w:cs="Times New Roman"/>
        </w:rPr>
        <w:t>ropo</w:t>
      </w:r>
      <w:r w:rsidR="00595908">
        <w:rPr>
          <w:rFonts w:ascii="Times New Roman" w:hAnsi="Times New Roman" w:cs="Times New Roman"/>
        </w:rPr>
        <w:t>sals</w:t>
      </w:r>
      <w:r w:rsidRPr="0086338E">
        <w:rPr>
          <w:rFonts w:ascii="Times New Roman" w:hAnsi="Times New Roman" w:cs="Times New Roman"/>
        </w:rPr>
        <w:t xml:space="preserve"> and the evaluation </w:t>
      </w:r>
      <w:r w:rsidR="00C670A6">
        <w:rPr>
          <w:rFonts w:ascii="Times New Roman" w:hAnsi="Times New Roman" w:cs="Times New Roman"/>
        </w:rPr>
        <w:t>framework that</w:t>
      </w:r>
      <w:r w:rsidR="009A40F3">
        <w:rPr>
          <w:rFonts w:ascii="Times New Roman" w:hAnsi="Times New Roman" w:cs="Times New Roman"/>
        </w:rPr>
        <w:t xml:space="preserve"> the Standard </w:t>
      </w:r>
      <w:r w:rsidR="002D2EB3">
        <w:rPr>
          <w:rFonts w:ascii="Times New Roman" w:hAnsi="Times New Roman" w:cs="Times New Roman"/>
        </w:rPr>
        <w:t>Offer</w:t>
      </w:r>
      <w:r w:rsidRPr="0086338E">
        <w:rPr>
          <w:rFonts w:ascii="Times New Roman" w:hAnsi="Times New Roman" w:cs="Times New Roman"/>
        </w:rPr>
        <w:t xml:space="preserve"> Facilitator</w:t>
      </w:r>
      <w:r w:rsidR="00595908">
        <w:rPr>
          <w:rFonts w:ascii="Times New Roman" w:hAnsi="Times New Roman" w:cs="Times New Roman"/>
        </w:rPr>
        <w:t xml:space="preserve"> will use to select</w:t>
      </w:r>
      <w:r w:rsidR="009374A8">
        <w:rPr>
          <w:rFonts w:ascii="Times New Roman" w:hAnsi="Times New Roman" w:cs="Times New Roman"/>
        </w:rPr>
        <w:t xml:space="preserve"> p</w:t>
      </w:r>
      <w:r w:rsidRPr="0086338E">
        <w:rPr>
          <w:rFonts w:ascii="Times New Roman" w:hAnsi="Times New Roman" w:cs="Times New Roman"/>
        </w:rPr>
        <w:t>roponents that will be awarded st</w:t>
      </w:r>
      <w:r w:rsidR="002D2EB3">
        <w:rPr>
          <w:rFonts w:ascii="Times New Roman" w:hAnsi="Times New Roman" w:cs="Times New Roman"/>
        </w:rPr>
        <w:t xml:space="preserve">andard-offer contracts.  </w:t>
      </w:r>
    </w:p>
    <w:p w:rsidR="007B0C71" w:rsidRPr="00E86EC5" w:rsidRDefault="007B0C71" w:rsidP="00114E0F">
      <w:pPr>
        <w:keepNext/>
        <w:keepLines/>
        <w:tabs>
          <w:tab w:val="left" w:pos="720"/>
          <w:tab w:val="left" w:pos="2160"/>
          <w:tab w:val="left" w:pos="2520"/>
        </w:tabs>
        <w:rPr>
          <w:rFonts w:ascii="Times New Roman" w:hAnsi="Times New Roman" w:cs="Times New Roman"/>
        </w:rPr>
      </w:pPr>
      <w:r w:rsidRPr="00E86EC5">
        <w:rPr>
          <w:rFonts w:ascii="Times New Roman" w:hAnsi="Times New Roman" w:cs="Times New Roman"/>
        </w:rPr>
        <w:lastRenderedPageBreak/>
        <w:t xml:space="preserve">The table below shows the approximate </w:t>
      </w:r>
      <w:r w:rsidR="001658C9">
        <w:rPr>
          <w:rFonts w:ascii="Times New Roman" w:hAnsi="Times New Roman" w:cs="Times New Roman"/>
        </w:rPr>
        <w:t>capacity allocation for the 2018</w:t>
      </w:r>
      <w:r w:rsidRPr="00E86EC5">
        <w:rPr>
          <w:rFonts w:ascii="Times New Roman" w:hAnsi="Times New Roman" w:cs="Times New Roman"/>
        </w:rPr>
        <w:t xml:space="preserve"> RFP.</w:t>
      </w:r>
    </w:p>
    <w:tbl>
      <w:tblPr>
        <w:tblW w:w="0" w:type="auto"/>
        <w:tblInd w:w="828" w:type="dxa"/>
        <w:tblBorders>
          <w:top w:val="double" w:sz="4" w:space="0" w:color="DBDBDB"/>
          <w:left w:val="double" w:sz="4" w:space="0" w:color="DBDBDB"/>
          <w:bottom w:val="double" w:sz="4" w:space="0" w:color="DBDBDB"/>
          <w:right w:val="double" w:sz="4" w:space="0" w:color="DBDBDB"/>
          <w:insideV w:val="single" w:sz="4" w:space="0" w:color="DBDBDB"/>
        </w:tblBorders>
        <w:tblLook w:val="04A0" w:firstRow="1" w:lastRow="0" w:firstColumn="1" w:lastColumn="0" w:noHBand="0" w:noVBand="1"/>
      </w:tblPr>
      <w:tblGrid>
        <w:gridCol w:w="4500"/>
        <w:gridCol w:w="3150"/>
      </w:tblGrid>
      <w:tr w:rsidR="007B0C71" w:rsidTr="00003013">
        <w:trPr>
          <w:trHeight w:hRule="exact" w:val="360"/>
        </w:trPr>
        <w:tc>
          <w:tcPr>
            <w:tcW w:w="7650" w:type="dxa"/>
            <w:gridSpan w:val="2"/>
            <w:tcBorders>
              <w:top w:val="thinThickSmallGap" w:sz="24" w:space="0" w:color="BFBFBF" w:themeColor="background1" w:themeShade="BF"/>
              <w:left w:val="thinThickSmallGap" w:sz="24" w:space="0" w:color="BFBFBF" w:themeColor="background1" w:themeShade="BF"/>
              <w:bottom w:val="single" w:sz="12" w:space="0" w:color="BFBFBF" w:themeColor="background1" w:themeShade="BF"/>
              <w:right w:val="thickThinSmallGap" w:sz="24" w:space="0" w:color="BFBFBF" w:themeColor="background1" w:themeShade="BF"/>
            </w:tcBorders>
            <w:shd w:val="clear" w:color="auto" w:fill="auto"/>
            <w:vAlign w:val="center"/>
          </w:tcPr>
          <w:p w:rsidR="007B0C71" w:rsidRPr="00E86EC5" w:rsidRDefault="001658C9" w:rsidP="00114E0F">
            <w:pPr>
              <w:keepNext/>
              <w:keepLines/>
              <w:tabs>
                <w:tab w:val="left" w:pos="720"/>
                <w:tab w:val="left" w:pos="2520"/>
              </w:tabs>
              <w:spacing w:line="240" w:lineRule="auto"/>
              <w:jc w:val="center"/>
              <w:rPr>
                <w:rFonts w:ascii="Times New Roman" w:hAnsi="Times New Roman" w:cs="Times New Roman"/>
                <w:b/>
                <w:bCs/>
              </w:rPr>
            </w:pPr>
            <w:r>
              <w:rPr>
                <w:rFonts w:ascii="Times New Roman" w:hAnsi="Times New Roman" w:cs="Times New Roman"/>
                <w:b/>
                <w:bCs/>
              </w:rPr>
              <w:t>2018</w:t>
            </w:r>
            <w:r w:rsidR="007B0C71" w:rsidRPr="00E86EC5">
              <w:rPr>
                <w:rFonts w:ascii="Times New Roman" w:hAnsi="Times New Roman" w:cs="Times New Roman"/>
                <w:b/>
                <w:bCs/>
              </w:rPr>
              <w:t xml:space="preserve"> Standard-Offer Program Technology Allocation</w:t>
            </w:r>
          </w:p>
        </w:tc>
      </w:tr>
      <w:tr w:rsidR="007B0C71" w:rsidTr="00003013">
        <w:trPr>
          <w:trHeight w:hRule="exact" w:val="360"/>
        </w:trPr>
        <w:tc>
          <w:tcPr>
            <w:tcW w:w="7650" w:type="dxa"/>
            <w:gridSpan w:val="2"/>
            <w:tcBorders>
              <w:top w:val="single" w:sz="12" w:space="0" w:color="BFBFBF" w:themeColor="background1" w:themeShade="BF"/>
              <w:left w:val="thinThickSmallGap" w:sz="24" w:space="0" w:color="BFBFBF" w:themeColor="background1" w:themeShade="BF"/>
              <w:bottom w:val="single" w:sz="4" w:space="0" w:color="DBDBDB"/>
              <w:right w:val="thickThinSmallGap" w:sz="24" w:space="0" w:color="BFBFBF" w:themeColor="background1" w:themeShade="BF"/>
            </w:tcBorders>
            <w:shd w:val="clear" w:color="auto" w:fill="auto"/>
            <w:vAlign w:val="center"/>
          </w:tcPr>
          <w:p w:rsidR="007B0C71" w:rsidRPr="00E86EC5" w:rsidRDefault="007B0C71" w:rsidP="00114E0F">
            <w:pPr>
              <w:keepNext/>
              <w:keepLines/>
              <w:tabs>
                <w:tab w:val="left" w:pos="720"/>
                <w:tab w:val="left" w:pos="2520"/>
              </w:tabs>
              <w:spacing w:after="0" w:line="240" w:lineRule="auto"/>
              <w:rPr>
                <w:rFonts w:ascii="Times New Roman" w:hAnsi="Times New Roman" w:cs="Times New Roman"/>
                <w:b/>
                <w:u w:val="single"/>
              </w:rPr>
            </w:pPr>
            <w:r w:rsidRPr="00E86EC5">
              <w:rPr>
                <w:rFonts w:ascii="Times New Roman" w:hAnsi="Times New Roman" w:cs="Times New Roman"/>
                <w:b/>
                <w:bCs/>
                <w:u w:val="single"/>
              </w:rPr>
              <w:t>Developer Block</w:t>
            </w:r>
          </w:p>
        </w:tc>
      </w:tr>
      <w:tr w:rsidR="007B0C71"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7B0C71" w:rsidRPr="00E86EC5" w:rsidRDefault="007B0C71" w:rsidP="00114E0F">
            <w:pPr>
              <w:keepNext/>
              <w:keepLines/>
              <w:tabs>
                <w:tab w:val="left" w:pos="720"/>
                <w:tab w:val="left" w:pos="2520"/>
              </w:tabs>
              <w:spacing w:after="0" w:line="240" w:lineRule="auto"/>
              <w:rPr>
                <w:rFonts w:ascii="Times New Roman" w:hAnsi="Times New Roman" w:cs="Times New Roman"/>
                <w:bCs/>
              </w:rPr>
            </w:pPr>
            <w:r w:rsidRPr="00E86EC5">
              <w:rPr>
                <w:rFonts w:ascii="Times New Roman" w:hAnsi="Times New Roman" w:cs="Times New Roman"/>
                <w:bCs/>
              </w:rPr>
              <w:t>Price-Competitive Developer Block</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7B0C71" w:rsidRPr="00E86EC5" w:rsidRDefault="007B0C71" w:rsidP="00114E0F">
            <w:pPr>
              <w:keepNext/>
              <w:keepLines/>
              <w:tabs>
                <w:tab w:val="left" w:pos="720"/>
                <w:tab w:val="left" w:pos="2520"/>
              </w:tabs>
              <w:spacing w:after="0" w:line="240" w:lineRule="auto"/>
              <w:rPr>
                <w:rFonts w:ascii="Times New Roman" w:hAnsi="Times New Roman" w:cs="Times New Roman"/>
              </w:rPr>
            </w:pPr>
            <w:r w:rsidRPr="00E86EC5">
              <w:rPr>
                <w:rFonts w:ascii="Times New Roman" w:hAnsi="Times New Roman" w:cs="Times New Roman"/>
              </w:rPr>
              <w:t>2.2 MW</w:t>
            </w:r>
          </w:p>
        </w:tc>
      </w:tr>
      <w:tr w:rsidR="007B0C71" w:rsidTr="00BF68BB">
        <w:trPr>
          <w:trHeight w:hRule="exact" w:val="360"/>
        </w:trPr>
        <w:tc>
          <w:tcPr>
            <w:tcW w:w="7650" w:type="dxa"/>
            <w:gridSpan w:val="2"/>
            <w:tcBorders>
              <w:top w:val="single" w:sz="4" w:space="0" w:color="DBDBDB"/>
              <w:left w:val="thinThickSmallGap" w:sz="24" w:space="0" w:color="BFBFBF" w:themeColor="background1" w:themeShade="BF"/>
              <w:bottom w:val="single" w:sz="4" w:space="0" w:color="DBDBDB"/>
              <w:right w:val="thickThinSmallGap" w:sz="24" w:space="0" w:color="BFBFBF" w:themeColor="background1" w:themeShade="BF"/>
            </w:tcBorders>
            <w:shd w:val="clear" w:color="auto" w:fill="auto"/>
            <w:vAlign w:val="center"/>
          </w:tcPr>
          <w:p w:rsidR="007B0C71" w:rsidRPr="00E86EC5" w:rsidRDefault="007B0C71" w:rsidP="00114E0F">
            <w:pPr>
              <w:keepNext/>
              <w:keepLines/>
              <w:tabs>
                <w:tab w:val="left" w:pos="720"/>
                <w:tab w:val="left" w:pos="2520"/>
              </w:tabs>
              <w:spacing w:after="0" w:line="240" w:lineRule="auto"/>
              <w:rPr>
                <w:rFonts w:ascii="Times New Roman" w:hAnsi="Times New Roman" w:cs="Times New Roman"/>
                <w:bCs/>
              </w:rPr>
            </w:pPr>
            <w:r w:rsidRPr="00E86EC5">
              <w:rPr>
                <w:rFonts w:ascii="Times New Roman" w:hAnsi="Times New Roman" w:cs="Times New Roman"/>
                <w:bCs/>
              </w:rPr>
              <w:t>Technology Diversity Developer Block</w:t>
            </w:r>
          </w:p>
        </w:tc>
      </w:tr>
      <w:tr w:rsidR="001C369F"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1C369F" w:rsidRPr="00E86EC5" w:rsidRDefault="001C369F" w:rsidP="00114E0F">
            <w:pPr>
              <w:keepNext/>
              <w:keepLines/>
              <w:tabs>
                <w:tab w:val="left" w:pos="720"/>
                <w:tab w:val="left" w:pos="2520"/>
              </w:tabs>
              <w:spacing w:after="0" w:line="240" w:lineRule="auto"/>
              <w:ind w:left="720"/>
              <w:rPr>
                <w:rFonts w:ascii="Times New Roman" w:hAnsi="Times New Roman" w:cs="Times New Roman"/>
                <w:bCs/>
              </w:rPr>
            </w:pPr>
            <w:r>
              <w:rPr>
                <w:rFonts w:ascii="Times New Roman" w:hAnsi="Times New Roman" w:cs="Times New Roman"/>
                <w:bCs/>
              </w:rPr>
              <w:t>Biomass</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1C369F" w:rsidRDefault="001C369F" w:rsidP="00114E0F">
            <w:pPr>
              <w:keepNext/>
              <w:keepLines/>
              <w:tabs>
                <w:tab w:val="left" w:pos="720"/>
                <w:tab w:val="left" w:pos="2520"/>
              </w:tabs>
              <w:spacing w:after="0" w:line="240" w:lineRule="auto"/>
              <w:rPr>
                <w:rFonts w:ascii="Times New Roman" w:hAnsi="Times New Roman" w:cs="Times New Roman"/>
              </w:rPr>
            </w:pPr>
            <w:r>
              <w:rPr>
                <w:rFonts w:ascii="Times New Roman" w:hAnsi="Times New Roman" w:cs="Times New Roman"/>
              </w:rPr>
              <w:t>0.835 MW</w:t>
            </w:r>
          </w:p>
        </w:tc>
      </w:tr>
      <w:tr w:rsidR="007B0C71"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7B0C71" w:rsidRPr="00E86EC5" w:rsidRDefault="007B0C71" w:rsidP="00114E0F">
            <w:pPr>
              <w:keepNext/>
              <w:keepLines/>
              <w:tabs>
                <w:tab w:val="left" w:pos="720"/>
                <w:tab w:val="left" w:pos="2520"/>
              </w:tabs>
              <w:spacing w:after="0" w:line="240" w:lineRule="auto"/>
              <w:ind w:left="720"/>
              <w:rPr>
                <w:rFonts w:ascii="Times New Roman" w:hAnsi="Times New Roman" w:cs="Times New Roman"/>
                <w:bCs/>
              </w:rPr>
            </w:pPr>
            <w:r w:rsidRPr="00E86EC5">
              <w:rPr>
                <w:rFonts w:ascii="Times New Roman" w:hAnsi="Times New Roman" w:cs="Times New Roman"/>
                <w:bCs/>
              </w:rPr>
              <w:t>Small Wind</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7B0C71" w:rsidRPr="00E86EC5" w:rsidRDefault="001C369F" w:rsidP="00114E0F">
            <w:pPr>
              <w:keepNext/>
              <w:keepLines/>
              <w:tabs>
                <w:tab w:val="left" w:pos="720"/>
                <w:tab w:val="left" w:pos="2520"/>
              </w:tabs>
              <w:spacing w:after="0" w:line="240" w:lineRule="auto"/>
              <w:rPr>
                <w:rFonts w:ascii="Times New Roman" w:hAnsi="Times New Roman" w:cs="Times New Roman"/>
              </w:rPr>
            </w:pPr>
            <w:r>
              <w:rPr>
                <w:rFonts w:ascii="Times New Roman" w:hAnsi="Times New Roman" w:cs="Times New Roman"/>
              </w:rPr>
              <w:t>0.835</w:t>
            </w:r>
            <w:r w:rsidR="007B0C71" w:rsidRPr="00E86EC5">
              <w:rPr>
                <w:rFonts w:ascii="Times New Roman" w:hAnsi="Times New Roman" w:cs="Times New Roman"/>
              </w:rPr>
              <w:t xml:space="preserve"> MW</w:t>
            </w:r>
          </w:p>
        </w:tc>
      </w:tr>
      <w:tr w:rsidR="007B0C71"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7B0C71" w:rsidRPr="00E86EC5" w:rsidRDefault="001C369F" w:rsidP="00114E0F">
            <w:pPr>
              <w:keepNext/>
              <w:keepLines/>
              <w:tabs>
                <w:tab w:val="left" w:pos="720"/>
                <w:tab w:val="left" w:pos="2520"/>
              </w:tabs>
              <w:spacing w:after="0" w:line="240" w:lineRule="auto"/>
              <w:ind w:left="720"/>
              <w:rPr>
                <w:rFonts w:ascii="Times New Roman" w:hAnsi="Times New Roman" w:cs="Times New Roman"/>
                <w:bCs/>
              </w:rPr>
            </w:pPr>
            <w:r>
              <w:rPr>
                <w:rFonts w:ascii="Times New Roman" w:hAnsi="Times New Roman" w:cs="Times New Roman"/>
                <w:bCs/>
              </w:rPr>
              <w:t>Large Wind</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7B0C71" w:rsidRPr="00E86EC5" w:rsidRDefault="001C369F" w:rsidP="00114E0F">
            <w:pPr>
              <w:keepNext/>
              <w:keepLines/>
              <w:tabs>
                <w:tab w:val="left" w:pos="720"/>
                <w:tab w:val="left" w:pos="2520"/>
              </w:tabs>
              <w:spacing w:after="0" w:line="240" w:lineRule="auto"/>
              <w:rPr>
                <w:rFonts w:ascii="Times New Roman" w:hAnsi="Times New Roman" w:cs="Times New Roman"/>
              </w:rPr>
            </w:pPr>
            <w:r>
              <w:rPr>
                <w:rFonts w:ascii="Times New Roman" w:hAnsi="Times New Roman" w:cs="Times New Roman"/>
              </w:rPr>
              <w:t>0.835</w:t>
            </w:r>
            <w:r w:rsidR="007B0C71" w:rsidRPr="00E86EC5">
              <w:rPr>
                <w:rFonts w:ascii="Times New Roman" w:hAnsi="Times New Roman" w:cs="Times New Roman"/>
              </w:rPr>
              <w:t xml:space="preserve"> MW</w:t>
            </w:r>
          </w:p>
        </w:tc>
      </w:tr>
      <w:tr w:rsidR="007B0C71"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7B0C71" w:rsidRPr="00E86EC5" w:rsidRDefault="001C369F" w:rsidP="00114E0F">
            <w:pPr>
              <w:keepNext/>
              <w:keepLines/>
              <w:tabs>
                <w:tab w:val="left" w:pos="720"/>
                <w:tab w:val="left" w:pos="2520"/>
              </w:tabs>
              <w:spacing w:after="0" w:line="240" w:lineRule="auto"/>
              <w:ind w:left="720"/>
              <w:rPr>
                <w:rFonts w:ascii="Times New Roman" w:hAnsi="Times New Roman" w:cs="Times New Roman"/>
                <w:bCs/>
              </w:rPr>
            </w:pPr>
            <w:r>
              <w:rPr>
                <w:rFonts w:ascii="Times New Roman" w:hAnsi="Times New Roman" w:cs="Times New Roman"/>
                <w:bCs/>
              </w:rPr>
              <w:t>Food Waste Anaerobic Digestion</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7B0C71" w:rsidRPr="00E86EC5" w:rsidRDefault="001C369F" w:rsidP="00114E0F">
            <w:pPr>
              <w:keepNext/>
              <w:keepLines/>
              <w:tabs>
                <w:tab w:val="left" w:pos="720"/>
                <w:tab w:val="left" w:pos="2520"/>
              </w:tabs>
              <w:spacing w:after="0" w:line="240" w:lineRule="auto"/>
              <w:rPr>
                <w:rFonts w:ascii="Times New Roman" w:hAnsi="Times New Roman" w:cs="Times New Roman"/>
              </w:rPr>
            </w:pPr>
            <w:r>
              <w:rPr>
                <w:rFonts w:ascii="Times New Roman" w:hAnsi="Times New Roman" w:cs="Times New Roman"/>
              </w:rPr>
              <w:t>0.835</w:t>
            </w:r>
            <w:r w:rsidR="007B0C71" w:rsidRPr="00E86EC5">
              <w:rPr>
                <w:rFonts w:ascii="Times New Roman" w:hAnsi="Times New Roman" w:cs="Times New Roman"/>
              </w:rPr>
              <w:t xml:space="preserve"> MW</w:t>
            </w:r>
          </w:p>
        </w:tc>
      </w:tr>
      <w:tr w:rsidR="007B0C71"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7B0C71" w:rsidRPr="00E86EC5" w:rsidRDefault="001C369F" w:rsidP="00114E0F">
            <w:pPr>
              <w:keepNext/>
              <w:keepLines/>
              <w:tabs>
                <w:tab w:val="left" w:pos="720"/>
                <w:tab w:val="left" w:pos="2520"/>
              </w:tabs>
              <w:spacing w:after="0" w:line="240" w:lineRule="auto"/>
              <w:ind w:left="720"/>
              <w:rPr>
                <w:rFonts w:ascii="Times New Roman" w:hAnsi="Times New Roman" w:cs="Times New Roman"/>
                <w:bCs/>
              </w:rPr>
            </w:pPr>
            <w:r>
              <w:rPr>
                <w:rFonts w:ascii="Times New Roman" w:hAnsi="Times New Roman" w:cs="Times New Roman"/>
                <w:bCs/>
              </w:rPr>
              <w:t>Hydroelectric</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7B0C71" w:rsidRPr="00E86EC5" w:rsidRDefault="001C369F" w:rsidP="00114E0F">
            <w:pPr>
              <w:keepNext/>
              <w:keepLines/>
              <w:tabs>
                <w:tab w:val="left" w:pos="720"/>
                <w:tab w:val="left" w:pos="2520"/>
              </w:tabs>
              <w:spacing w:after="0" w:line="240" w:lineRule="auto"/>
              <w:rPr>
                <w:rFonts w:ascii="Times New Roman" w:hAnsi="Times New Roman" w:cs="Times New Roman"/>
              </w:rPr>
            </w:pPr>
            <w:r>
              <w:rPr>
                <w:rFonts w:ascii="Times New Roman" w:hAnsi="Times New Roman" w:cs="Times New Roman"/>
              </w:rPr>
              <w:t>0.835</w:t>
            </w:r>
            <w:r w:rsidR="007B0C71" w:rsidRPr="00E86EC5">
              <w:rPr>
                <w:rFonts w:ascii="Times New Roman" w:hAnsi="Times New Roman" w:cs="Times New Roman"/>
              </w:rPr>
              <w:t xml:space="preserve"> MW</w:t>
            </w:r>
          </w:p>
        </w:tc>
      </w:tr>
      <w:tr w:rsidR="007B0C71"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7B0C71" w:rsidRPr="00E86EC5" w:rsidRDefault="007B0C71" w:rsidP="00114E0F">
            <w:pPr>
              <w:keepNext/>
              <w:keepLines/>
              <w:tabs>
                <w:tab w:val="left" w:pos="720"/>
                <w:tab w:val="left" w:pos="2520"/>
              </w:tabs>
              <w:spacing w:after="0" w:line="240" w:lineRule="auto"/>
              <w:rPr>
                <w:rFonts w:ascii="Times New Roman" w:hAnsi="Times New Roman" w:cs="Times New Roman"/>
                <w:b/>
                <w:bCs/>
                <w:u w:val="single"/>
              </w:rPr>
            </w:pPr>
            <w:r w:rsidRPr="00E86EC5">
              <w:rPr>
                <w:rFonts w:ascii="Times New Roman" w:hAnsi="Times New Roman" w:cs="Times New Roman"/>
                <w:b/>
                <w:bCs/>
                <w:u w:val="single"/>
              </w:rPr>
              <w:t>Provider Block</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7B0C71" w:rsidRPr="00E86EC5" w:rsidRDefault="007B0C71" w:rsidP="00114E0F">
            <w:pPr>
              <w:keepNext/>
              <w:keepLines/>
              <w:tabs>
                <w:tab w:val="left" w:pos="720"/>
                <w:tab w:val="left" w:pos="2520"/>
              </w:tabs>
              <w:spacing w:after="0" w:line="240" w:lineRule="auto"/>
              <w:rPr>
                <w:rFonts w:ascii="Times New Roman" w:hAnsi="Times New Roman" w:cs="Times New Roman"/>
              </w:rPr>
            </w:pPr>
          </w:p>
        </w:tc>
      </w:tr>
      <w:tr w:rsidR="007B0C71" w:rsidTr="00BF68BB">
        <w:trPr>
          <w:trHeight w:hRule="exact" w:val="360"/>
        </w:trPr>
        <w:tc>
          <w:tcPr>
            <w:tcW w:w="4500" w:type="dxa"/>
            <w:tcBorders>
              <w:top w:val="single" w:sz="4" w:space="0" w:color="DBDBDB"/>
              <w:left w:val="thinThickSmallGap" w:sz="24" w:space="0" w:color="BFBFBF" w:themeColor="background1" w:themeShade="BF"/>
              <w:bottom w:val="single" w:sz="4" w:space="0" w:color="DBDBDB"/>
            </w:tcBorders>
            <w:shd w:val="clear" w:color="auto" w:fill="auto"/>
            <w:vAlign w:val="center"/>
          </w:tcPr>
          <w:p w:rsidR="007B0C71" w:rsidRPr="00E86EC5" w:rsidRDefault="001658C9" w:rsidP="00114E0F">
            <w:pPr>
              <w:keepNext/>
              <w:keepLines/>
              <w:tabs>
                <w:tab w:val="left" w:pos="720"/>
                <w:tab w:val="left" w:pos="2520"/>
              </w:tabs>
              <w:spacing w:after="0" w:line="240" w:lineRule="auto"/>
              <w:ind w:left="720"/>
              <w:rPr>
                <w:rFonts w:ascii="Times New Roman" w:hAnsi="Times New Roman" w:cs="Times New Roman"/>
                <w:bCs/>
              </w:rPr>
            </w:pPr>
            <w:r>
              <w:rPr>
                <w:rFonts w:ascii="Times New Roman" w:hAnsi="Times New Roman" w:cs="Times New Roman"/>
                <w:bCs/>
              </w:rPr>
              <w:t>All provider projects</w:t>
            </w:r>
          </w:p>
        </w:tc>
        <w:tc>
          <w:tcPr>
            <w:tcW w:w="3150" w:type="dxa"/>
            <w:tcBorders>
              <w:top w:val="single" w:sz="4" w:space="0" w:color="DBDBDB"/>
              <w:bottom w:val="single" w:sz="4" w:space="0" w:color="DBDBDB"/>
              <w:right w:val="thickThinSmallGap" w:sz="24" w:space="0" w:color="BFBFBF" w:themeColor="background1" w:themeShade="BF"/>
            </w:tcBorders>
            <w:shd w:val="clear" w:color="auto" w:fill="auto"/>
            <w:vAlign w:val="center"/>
          </w:tcPr>
          <w:p w:rsidR="007B0C71" w:rsidRPr="00E86EC5" w:rsidRDefault="001C369F" w:rsidP="00114E0F">
            <w:pPr>
              <w:keepNext/>
              <w:keepLines/>
              <w:tabs>
                <w:tab w:val="left" w:pos="720"/>
                <w:tab w:val="left" w:pos="2520"/>
              </w:tabs>
              <w:spacing w:after="0" w:line="240" w:lineRule="auto"/>
              <w:rPr>
                <w:rFonts w:ascii="Times New Roman" w:hAnsi="Times New Roman" w:cs="Times New Roman"/>
              </w:rPr>
            </w:pPr>
            <w:r>
              <w:rPr>
                <w:rFonts w:ascii="Times New Roman" w:hAnsi="Times New Roman" w:cs="Times New Roman"/>
              </w:rPr>
              <w:t>1.125</w:t>
            </w:r>
            <w:r w:rsidR="007B0C71" w:rsidRPr="00E86EC5">
              <w:rPr>
                <w:rFonts w:ascii="Times New Roman" w:hAnsi="Times New Roman" w:cs="Times New Roman"/>
              </w:rPr>
              <w:t xml:space="preserve"> MW</w:t>
            </w:r>
          </w:p>
        </w:tc>
      </w:tr>
      <w:tr w:rsidR="007B0C71" w:rsidTr="00B5700A">
        <w:trPr>
          <w:trHeight w:hRule="exact" w:val="360"/>
        </w:trPr>
        <w:tc>
          <w:tcPr>
            <w:tcW w:w="4500" w:type="dxa"/>
            <w:tcBorders>
              <w:top w:val="single" w:sz="4" w:space="0" w:color="A6A6A6" w:themeColor="background1" w:themeShade="A6"/>
              <w:left w:val="thinThickSmallGap" w:sz="24" w:space="0" w:color="BFBFBF" w:themeColor="background1" w:themeShade="BF"/>
              <w:bottom w:val="thickThinSmallGap" w:sz="24" w:space="0" w:color="BFBFBF" w:themeColor="background1" w:themeShade="BF"/>
            </w:tcBorders>
            <w:shd w:val="clear" w:color="auto" w:fill="auto"/>
            <w:vAlign w:val="center"/>
          </w:tcPr>
          <w:p w:rsidR="007B0C71" w:rsidRPr="00E86EC5" w:rsidRDefault="007B0C71" w:rsidP="00114E0F">
            <w:pPr>
              <w:keepNext/>
              <w:keepLines/>
              <w:tabs>
                <w:tab w:val="left" w:pos="720"/>
                <w:tab w:val="left" w:pos="2520"/>
              </w:tabs>
              <w:spacing w:after="0" w:line="240" w:lineRule="auto"/>
              <w:rPr>
                <w:rFonts w:ascii="Times New Roman" w:hAnsi="Times New Roman" w:cs="Times New Roman"/>
                <w:b/>
                <w:bCs/>
              </w:rPr>
            </w:pPr>
            <w:r w:rsidRPr="00E86EC5">
              <w:rPr>
                <w:rFonts w:ascii="Times New Roman" w:hAnsi="Times New Roman" w:cs="Times New Roman"/>
                <w:b/>
                <w:bCs/>
              </w:rPr>
              <w:t xml:space="preserve">Total </w:t>
            </w:r>
          </w:p>
        </w:tc>
        <w:tc>
          <w:tcPr>
            <w:tcW w:w="3150" w:type="dxa"/>
            <w:tcBorders>
              <w:top w:val="single" w:sz="4" w:space="0" w:color="A6A6A6" w:themeColor="background1" w:themeShade="A6"/>
              <w:bottom w:val="thickThinSmallGap" w:sz="24" w:space="0" w:color="BFBFBF" w:themeColor="background1" w:themeShade="BF"/>
              <w:right w:val="thickThinSmallGap" w:sz="24" w:space="0" w:color="BFBFBF" w:themeColor="background1" w:themeShade="BF"/>
            </w:tcBorders>
            <w:shd w:val="clear" w:color="auto" w:fill="auto"/>
            <w:vAlign w:val="center"/>
          </w:tcPr>
          <w:p w:rsidR="007B0C71" w:rsidRPr="001C369F" w:rsidRDefault="001C369F" w:rsidP="00114E0F">
            <w:pPr>
              <w:keepNext/>
              <w:keepLines/>
              <w:tabs>
                <w:tab w:val="left" w:pos="720"/>
                <w:tab w:val="left" w:pos="2520"/>
              </w:tabs>
              <w:spacing w:after="0" w:line="240" w:lineRule="auto"/>
              <w:rPr>
                <w:rFonts w:ascii="Times New Roman" w:hAnsi="Times New Roman" w:cs="Times New Roman"/>
                <w:b/>
              </w:rPr>
            </w:pPr>
            <w:r w:rsidRPr="001C369F">
              <w:rPr>
                <w:rFonts w:ascii="Times New Roman" w:hAnsi="Times New Roman" w:cs="Times New Roman"/>
                <w:b/>
              </w:rPr>
              <w:t>7.</w:t>
            </w:r>
            <w:r w:rsidR="007B0C71" w:rsidRPr="001C369F">
              <w:rPr>
                <w:rFonts w:ascii="Times New Roman" w:hAnsi="Times New Roman" w:cs="Times New Roman"/>
                <w:b/>
              </w:rPr>
              <w:t>5 MW</w:t>
            </w:r>
          </w:p>
        </w:tc>
      </w:tr>
    </w:tbl>
    <w:p w:rsidR="0086338E" w:rsidRPr="0086338E" w:rsidRDefault="00F54EB5" w:rsidP="00114E0F">
      <w:pPr>
        <w:pStyle w:val="Heading2"/>
        <w:spacing w:before="240" w:after="120" w:line="240" w:lineRule="auto"/>
        <w:rPr>
          <w:rFonts w:ascii="Times New Roman" w:hAnsi="Times New Roman" w:cs="Times New Roman"/>
        </w:rPr>
      </w:pPr>
      <w:bookmarkStart w:id="2" w:name="_Toc349812079"/>
      <w:bookmarkStart w:id="3" w:name="_Toc509494711"/>
      <w:r>
        <w:rPr>
          <w:rFonts w:ascii="Times New Roman" w:hAnsi="Times New Roman" w:cs="Times New Roman"/>
        </w:rPr>
        <w:t xml:space="preserve">1.1 </w:t>
      </w:r>
      <w:r w:rsidR="0086338E" w:rsidRPr="0086338E">
        <w:rPr>
          <w:rFonts w:ascii="Times New Roman" w:hAnsi="Times New Roman" w:cs="Times New Roman"/>
        </w:rPr>
        <w:t>General Requirements</w:t>
      </w:r>
      <w:bookmarkEnd w:id="2"/>
      <w:bookmarkEnd w:id="3"/>
      <w:r w:rsidR="0086338E" w:rsidRPr="0086338E">
        <w:rPr>
          <w:rFonts w:ascii="Times New Roman" w:hAnsi="Times New Roman" w:cs="Times New Roman"/>
        </w:rPr>
        <w:tab/>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6338E">
        <w:rPr>
          <w:rFonts w:ascii="Times New Roman" w:hAnsi="Times New Roman" w:cs="Times New Roman"/>
        </w:rPr>
        <w:t>All communication regarding this RFP wil</w:t>
      </w:r>
      <w:r w:rsidR="002D2EB3">
        <w:rPr>
          <w:rFonts w:ascii="Times New Roman" w:hAnsi="Times New Roman" w:cs="Times New Roman"/>
        </w:rPr>
        <w:t>l be</w:t>
      </w:r>
      <w:r w:rsidR="005C0FF6">
        <w:rPr>
          <w:rFonts w:ascii="Times New Roman" w:hAnsi="Times New Roman" w:cs="Times New Roman"/>
        </w:rPr>
        <w:t xml:space="preserve"> conducted through the Standard </w:t>
      </w:r>
      <w:r w:rsidR="002D2EB3">
        <w:rPr>
          <w:rFonts w:ascii="Times New Roman" w:hAnsi="Times New Roman" w:cs="Times New Roman"/>
        </w:rPr>
        <w:t>Offer Facilitator’s</w:t>
      </w:r>
      <w:r w:rsidRPr="0086338E">
        <w:rPr>
          <w:rFonts w:ascii="Times New Roman" w:hAnsi="Times New Roman" w:cs="Times New Roman"/>
        </w:rPr>
        <w:t xml:space="preserve"> </w:t>
      </w:r>
      <w:r w:rsidRPr="004C5BC2">
        <w:rPr>
          <w:rFonts w:ascii="Times New Roman" w:hAnsi="Times New Roman" w:cs="Times New Roman"/>
        </w:rPr>
        <w:t>website</w:t>
      </w:r>
      <w:r w:rsidRPr="0086338E">
        <w:rPr>
          <w:rFonts w:ascii="Times New Roman" w:hAnsi="Times New Roman" w:cs="Times New Roman"/>
        </w:rPr>
        <w:t>.</w:t>
      </w:r>
      <w:r w:rsidR="00E521D5">
        <w:rPr>
          <w:rStyle w:val="FootnoteReference"/>
          <w:rFonts w:ascii="Times New Roman" w:hAnsi="Times New Roman"/>
        </w:rPr>
        <w:footnoteReference w:id="3"/>
      </w:r>
      <w:r w:rsidRPr="0086338E">
        <w:rPr>
          <w:rFonts w:ascii="Times New Roman" w:hAnsi="Times New Roman" w:cs="Times New Roman"/>
        </w:rPr>
        <w:t xml:space="preserve">  </w:t>
      </w:r>
      <w:r w:rsidRPr="004C5BC2">
        <w:rPr>
          <w:rFonts w:ascii="Times New Roman" w:hAnsi="Times New Roman" w:cs="Times New Roman"/>
        </w:rPr>
        <w:t>Comments and questions</w:t>
      </w:r>
      <w:r w:rsidR="00230EC9">
        <w:rPr>
          <w:rStyle w:val="FootnoteReference"/>
          <w:rFonts w:ascii="Times New Roman" w:hAnsi="Times New Roman"/>
        </w:rPr>
        <w:footnoteReference w:id="4"/>
      </w:r>
      <w:r w:rsidRPr="0086338E">
        <w:rPr>
          <w:rFonts w:ascii="Times New Roman" w:hAnsi="Times New Roman" w:cs="Times New Roman"/>
        </w:rPr>
        <w:t xml:space="preserve"> regarding the RFP or standard-offer contracts should be dir</w:t>
      </w:r>
      <w:r w:rsidR="009E000E">
        <w:rPr>
          <w:rFonts w:ascii="Times New Roman" w:hAnsi="Times New Roman" w:cs="Times New Roman"/>
        </w:rPr>
        <w:t>ected to VEPP</w:t>
      </w:r>
      <w:r w:rsidR="009374A8">
        <w:rPr>
          <w:rFonts w:ascii="Times New Roman" w:hAnsi="Times New Roman" w:cs="Times New Roman"/>
        </w:rPr>
        <w:t>.  Successful p</w:t>
      </w:r>
      <w:r w:rsidRPr="0086338E">
        <w:rPr>
          <w:rFonts w:ascii="Times New Roman" w:hAnsi="Times New Roman" w:cs="Times New Roman"/>
        </w:rPr>
        <w:t>roponents will be required</w:t>
      </w:r>
      <w:r w:rsidR="00595908">
        <w:rPr>
          <w:rFonts w:ascii="Times New Roman" w:hAnsi="Times New Roman" w:cs="Times New Roman"/>
        </w:rPr>
        <w:t xml:space="preserve"> to enter into the</w:t>
      </w:r>
      <w:r w:rsidRPr="0086338E">
        <w:rPr>
          <w:rFonts w:ascii="Times New Roman" w:hAnsi="Times New Roman" w:cs="Times New Roman"/>
        </w:rPr>
        <w:t xml:space="preserve"> standard-offer contract</w:t>
      </w:r>
      <w:r w:rsidR="009E000E">
        <w:rPr>
          <w:rFonts w:ascii="Times New Roman" w:hAnsi="Times New Roman" w:cs="Times New Roman"/>
        </w:rPr>
        <w:t xml:space="preserve"> that the Commission</w:t>
      </w:r>
      <w:r w:rsidR="00595908">
        <w:rPr>
          <w:rFonts w:ascii="Times New Roman" w:hAnsi="Times New Roman" w:cs="Times New Roman"/>
        </w:rPr>
        <w:t xml:space="preserve"> has mandated for use</w:t>
      </w:r>
      <w:r w:rsidRPr="0086338E">
        <w:rPr>
          <w:rFonts w:ascii="Times New Roman" w:hAnsi="Times New Roman" w:cs="Times New Roman"/>
        </w:rPr>
        <w:t>, whic</w:t>
      </w:r>
      <w:r w:rsidR="002D2EB3">
        <w:rPr>
          <w:rFonts w:ascii="Times New Roman" w:hAnsi="Times New Roman" w:cs="Times New Roman"/>
        </w:rPr>
        <w:t>h is posted on the</w:t>
      </w:r>
      <w:r w:rsidRPr="0086338E">
        <w:rPr>
          <w:rFonts w:ascii="Times New Roman" w:hAnsi="Times New Roman" w:cs="Times New Roman"/>
        </w:rPr>
        <w:t xml:space="preserve"> website.</w:t>
      </w:r>
    </w:p>
    <w:p w:rsidR="0086338E" w:rsidRPr="0086338E" w:rsidRDefault="00F54EB5" w:rsidP="00114E0F">
      <w:pPr>
        <w:pStyle w:val="Heading2"/>
        <w:spacing w:before="240" w:after="120" w:line="240" w:lineRule="auto"/>
        <w:rPr>
          <w:rFonts w:ascii="Times New Roman" w:hAnsi="Times New Roman" w:cs="Times New Roman"/>
        </w:rPr>
      </w:pPr>
      <w:bookmarkStart w:id="5" w:name="_Toc349812080"/>
      <w:bookmarkStart w:id="6" w:name="_Toc509494712"/>
      <w:r>
        <w:rPr>
          <w:rFonts w:ascii="Times New Roman" w:hAnsi="Times New Roman" w:cs="Times New Roman"/>
        </w:rPr>
        <w:t xml:space="preserve">1.2 </w:t>
      </w:r>
      <w:r w:rsidR="0086338E" w:rsidRPr="0086338E">
        <w:rPr>
          <w:rFonts w:ascii="Times New Roman" w:hAnsi="Times New Roman" w:cs="Times New Roman"/>
        </w:rPr>
        <w:t>Contents of this RFP</w:t>
      </w:r>
      <w:bookmarkEnd w:id="5"/>
      <w:bookmarkEnd w:id="6"/>
      <w:r w:rsidR="0086338E" w:rsidRPr="0086338E">
        <w:rPr>
          <w:rFonts w:ascii="Times New Roman" w:hAnsi="Times New Roman" w:cs="Times New Roman"/>
        </w:rPr>
        <w:tab/>
      </w:r>
    </w:p>
    <w:p w:rsid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6338E">
        <w:rPr>
          <w:rFonts w:ascii="Times New Roman" w:hAnsi="Times New Roman" w:cs="Times New Roman"/>
        </w:rPr>
        <w:t>This RFP is composed of four chapters, the first of which is this introduction.  The second chapter provides an overview of the RFP process.  The third chapter reviews the ev</w:t>
      </w:r>
      <w:r w:rsidR="009374A8">
        <w:rPr>
          <w:rFonts w:ascii="Times New Roman" w:hAnsi="Times New Roman" w:cs="Times New Roman"/>
        </w:rPr>
        <w:t>aluation process</w:t>
      </w:r>
      <w:r w:rsidR="0046529D">
        <w:rPr>
          <w:rFonts w:ascii="Times New Roman" w:hAnsi="Times New Roman" w:cs="Times New Roman"/>
        </w:rPr>
        <w:t>,</w:t>
      </w:r>
      <w:r w:rsidR="009374A8">
        <w:rPr>
          <w:rFonts w:ascii="Times New Roman" w:hAnsi="Times New Roman" w:cs="Times New Roman"/>
        </w:rPr>
        <w:t xml:space="preserve"> including the</w:t>
      </w:r>
      <w:r w:rsidR="0046529D">
        <w:rPr>
          <w:rFonts w:ascii="Times New Roman" w:hAnsi="Times New Roman" w:cs="Times New Roman"/>
        </w:rPr>
        <w:t xml:space="preserve"> </w:t>
      </w:r>
      <w:r w:rsidR="009374A8">
        <w:rPr>
          <w:rFonts w:ascii="Times New Roman" w:hAnsi="Times New Roman" w:cs="Times New Roman"/>
        </w:rPr>
        <w:t>mandatory requirements, evaluation, and proposal selection p</w:t>
      </w:r>
      <w:r w:rsidRPr="0086338E">
        <w:rPr>
          <w:rFonts w:ascii="Times New Roman" w:hAnsi="Times New Roman" w:cs="Times New Roman"/>
        </w:rPr>
        <w:t>rocess.  The final chapter reviews the major terms and conditions of the RFP process.</w:t>
      </w:r>
    </w:p>
    <w:p w:rsidR="00E511E1" w:rsidRDefault="00E511E1">
      <w:pPr>
        <w:rPr>
          <w:rFonts w:ascii="Times New Roman" w:hAnsi="Times New Roman" w:cs="Times New Roman"/>
        </w:rPr>
      </w:pPr>
      <w:r>
        <w:rPr>
          <w:rFonts w:ascii="Times New Roman" w:hAnsi="Times New Roman" w:cs="Times New Roman"/>
        </w:rPr>
        <w:br w:type="page"/>
      </w:r>
    </w:p>
    <w:p w:rsidR="0086338E" w:rsidRPr="00060019" w:rsidRDefault="00972AEB" w:rsidP="00114E0F">
      <w:pPr>
        <w:pStyle w:val="Heading2"/>
        <w:spacing w:before="240" w:after="120" w:line="240" w:lineRule="auto"/>
        <w:rPr>
          <w:rFonts w:ascii="Times New Roman" w:hAnsi="Times New Roman" w:cs="Times New Roman"/>
          <w:sz w:val="28"/>
          <w:szCs w:val="28"/>
        </w:rPr>
      </w:pPr>
      <w:bookmarkStart w:id="7" w:name="_Toc349812081"/>
      <w:bookmarkStart w:id="8" w:name="_Toc509494713"/>
      <w:r w:rsidRPr="00060019">
        <w:rPr>
          <w:rFonts w:ascii="Times New Roman" w:hAnsi="Times New Roman" w:cs="Times New Roman"/>
          <w:sz w:val="28"/>
          <w:szCs w:val="28"/>
        </w:rPr>
        <w:lastRenderedPageBreak/>
        <w:t>2</w:t>
      </w:r>
      <w:r w:rsidR="009374A8">
        <w:rPr>
          <w:rFonts w:ascii="Times New Roman" w:hAnsi="Times New Roman" w:cs="Times New Roman"/>
          <w:sz w:val="28"/>
          <w:szCs w:val="28"/>
        </w:rPr>
        <w:t>.</w:t>
      </w:r>
      <w:r w:rsidRPr="00060019">
        <w:rPr>
          <w:rFonts w:ascii="Times New Roman" w:hAnsi="Times New Roman" w:cs="Times New Roman"/>
          <w:sz w:val="28"/>
          <w:szCs w:val="28"/>
        </w:rPr>
        <w:t xml:space="preserve"> </w:t>
      </w:r>
      <w:r w:rsidR="0086338E" w:rsidRPr="00060019">
        <w:rPr>
          <w:rFonts w:ascii="Times New Roman" w:hAnsi="Times New Roman" w:cs="Times New Roman"/>
          <w:sz w:val="28"/>
          <w:szCs w:val="28"/>
        </w:rPr>
        <w:t>RFP Process Overview</w:t>
      </w:r>
      <w:bookmarkEnd w:id="7"/>
      <w:bookmarkEnd w:id="8"/>
      <w:r w:rsidR="0086338E" w:rsidRPr="00060019">
        <w:rPr>
          <w:rFonts w:ascii="Times New Roman" w:hAnsi="Times New Roman" w:cs="Times New Roman"/>
          <w:sz w:val="28"/>
          <w:szCs w:val="28"/>
        </w:rPr>
        <w:tab/>
      </w:r>
    </w:p>
    <w:p w:rsidR="0086338E" w:rsidRPr="0086338E" w:rsidRDefault="0086338E" w:rsidP="0086338E">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line="275" w:lineRule="auto"/>
        <w:rPr>
          <w:rFonts w:ascii="Times New Roman" w:hAnsi="Times New Roman" w:cs="Times New Roman"/>
        </w:rPr>
      </w:pPr>
      <w:r w:rsidRPr="0086338E">
        <w:rPr>
          <w:rFonts w:ascii="Times New Roman" w:hAnsi="Times New Roman" w:cs="Times New Roman"/>
        </w:rPr>
        <w:t>This section provides an overview of the RFP process.</w:t>
      </w:r>
    </w:p>
    <w:p w:rsidR="0086338E" w:rsidRPr="0086338E" w:rsidRDefault="00972AEB" w:rsidP="00114E0F">
      <w:pPr>
        <w:pStyle w:val="Heading2"/>
        <w:spacing w:before="240" w:after="120" w:line="240" w:lineRule="auto"/>
        <w:rPr>
          <w:rFonts w:ascii="Times New Roman" w:hAnsi="Times New Roman" w:cs="Times New Roman"/>
        </w:rPr>
      </w:pPr>
      <w:bookmarkStart w:id="9" w:name="_Toc349812082"/>
      <w:bookmarkStart w:id="10" w:name="_Toc509494714"/>
      <w:r>
        <w:rPr>
          <w:rFonts w:ascii="Times New Roman" w:hAnsi="Times New Roman" w:cs="Times New Roman"/>
        </w:rPr>
        <w:t xml:space="preserve">2.1 </w:t>
      </w:r>
      <w:r w:rsidR="0086338E" w:rsidRPr="0086338E">
        <w:rPr>
          <w:rFonts w:ascii="Times New Roman" w:hAnsi="Times New Roman" w:cs="Times New Roman"/>
        </w:rPr>
        <w:t>Schedule</w:t>
      </w:r>
      <w:bookmarkEnd w:id="9"/>
      <w:bookmarkEnd w:id="10"/>
      <w:r w:rsidR="0086338E" w:rsidRPr="0086338E">
        <w:rPr>
          <w:rFonts w:ascii="Times New Roman" w:hAnsi="Times New Roman" w:cs="Times New Roman"/>
        </w:rPr>
        <w:tab/>
      </w:r>
    </w:p>
    <w:p w:rsidR="0086338E" w:rsidRDefault="002D2EB3" w:rsidP="0086338E">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line="275" w:lineRule="auto"/>
        <w:rPr>
          <w:rFonts w:ascii="Times New Roman" w:hAnsi="Times New Roman" w:cs="Times New Roman"/>
        </w:rPr>
      </w:pPr>
      <w:r>
        <w:rPr>
          <w:rFonts w:ascii="Times New Roman" w:hAnsi="Times New Roman" w:cs="Times New Roman"/>
        </w:rPr>
        <w:t xml:space="preserve">The RFP schedule for </w:t>
      </w:r>
      <w:r w:rsidR="00C04CD0">
        <w:rPr>
          <w:rFonts w:ascii="Times New Roman" w:hAnsi="Times New Roman" w:cs="Times New Roman"/>
        </w:rPr>
        <w:t>2018</w:t>
      </w:r>
      <w:r w:rsidR="00B37D72" w:rsidRPr="0086338E">
        <w:rPr>
          <w:rFonts w:ascii="Times New Roman" w:hAnsi="Times New Roman" w:cs="Times New Roman"/>
        </w:rPr>
        <w:t xml:space="preserve"> </w:t>
      </w:r>
      <w:r w:rsidR="0086338E" w:rsidRPr="0086338E">
        <w:rPr>
          <w:rFonts w:ascii="Times New Roman" w:hAnsi="Times New Roman" w:cs="Times New Roman"/>
        </w:rPr>
        <w:t xml:space="preserve">is presented below.  </w:t>
      </w:r>
    </w:p>
    <w:tbl>
      <w:tblPr>
        <w:tblW w:w="0" w:type="auto"/>
        <w:jc w:val="center"/>
        <w:tblBorders>
          <w:top w:val="thinThickSmallGap" w:sz="18" w:space="0" w:color="A6A6A6" w:themeColor="background1" w:themeShade="A6"/>
          <w:left w:val="thinThickSmallGap" w:sz="18" w:space="0" w:color="A6A6A6" w:themeColor="background1" w:themeShade="A6"/>
          <w:bottom w:val="thickThinSmallGap" w:sz="18" w:space="0" w:color="A6A6A6" w:themeColor="background1" w:themeShade="A6"/>
          <w:right w:val="thickThinSmallGap" w:sz="18"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9" w:type="dxa"/>
          <w:right w:w="49" w:type="dxa"/>
        </w:tblCellMar>
        <w:tblLook w:val="0000" w:firstRow="0" w:lastRow="0" w:firstColumn="0" w:lastColumn="0" w:noHBand="0" w:noVBand="0"/>
      </w:tblPr>
      <w:tblGrid>
        <w:gridCol w:w="5400"/>
        <w:gridCol w:w="3060"/>
      </w:tblGrid>
      <w:tr w:rsidR="00F435BB" w:rsidRPr="0086338E" w:rsidTr="003B5930">
        <w:trPr>
          <w:trHeight w:val="384"/>
          <w:jc w:val="center"/>
        </w:trPr>
        <w:tc>
          <w:tcPr>
            <w:tcW w:w="5400" w:type="dxa"/>
            <w:tcBorders>
              <w:top w:val="thinThickSmallGap" w:sz="18" w:space="0" w:color="A6A6A6" w:themeColor="background1" w:themeShade="A6"/>
              <w:bottom w:val="single" w:sz="12" w:space="0" w:color="A6A6A6" w:themeColor="background1" w:themeShade="A6"/>
            </w:tcBorders>
            <w:vAlign w:val="center"/>
          </w:tcPr>
          <w:p w:rsidR="00F435BB" w:rsidRPr="000F243A" w:rsidRDefault="00AA6D84" w:rsidP="003B5930">
            <w:pPr>
              <w:keepNext/>
              <w:numPr>
                <w:ilvl w:val="12"/>
                <w:numId w:val="0"/>
              </w:numPr>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Event</w:t>
            </w:r>
          </w:p>
        </w:tc>
        <w:tc>
          <w:tcPr>
            <w:tcW w:w="3060" w:type="dxa"/>
            <w:tcBorders>
              <w:top w:val="thinThickSmallGap" w:sz="18" w:space="0" w:color="A6A6A6" w:themeColor="background1" w:themeShade="A6"/>
              <w:bottom w:val="single" w:sz="12" w:space="0" w:color="A6A6A6" w:themeColor="background1" w:themeShade="A6"/>
            </w:tcBorders>
            <w:vAlign w:val="center"/>
          </w:tcPr>
          <w:p w:rsidR="00F435BB" w:rsidRPr="000F243A" w:rsidRDefault="00AA6D84" w:rsidP="003B5930">
            <w:pPr>
              <w:keepNext/>
              <w:numPr>
                <w:ilvl w:val="12"/>
                <w:numId w:val="0"/>
              </w:numPr>
              <w:tabs>
                <w:tab w:val="left" w:pos="0"/>
                <w:tab w:val="left" w:pos="720"/>
                <w:tab w:val="left" w:pos="1440"/>
                <w:tab w:val="left" w:pos="2160"/>
                <w:tab w:val="left" w:pos="2880"/>
              </w:tabs>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Date</w:t>
            </w:r>
          </w:p>
        </w:tc>
      </w:tr>
      <w:tr w:rsidR="00F435BB" w:rsidRPr="00B81392" w:rsidTr="003B5930">
        <w:trPr>
          <w:trHeight w:val="466"/>
          <w:jc w:val="center"/>
        </w:trPr>
        <w:tc>
          <w:tcPr>
            <w:tcW w:w="5400" w:type="dxa"/>
            <w:tcBorders>
              <w:top w:val="single" w:sz="12" w:space="0" w:color="A6A6A6" w:themeColor="background1" w:themeShade="A6"/>
            </w:tcBorders>
            <w:vAlign w:val="center"/>
          </w:tcPr>
          <w:p w:rsidR="00F435BB" w:rsidRPr="00B81392" w:rsidRDefault="00F435BB" w:rsidP="003B5930">
            <w:pPr>
              <w:keepNext/>
              <w:numPr>
                <w:ilvl w:val="12"/>
                <w:numId w:val="0"/>
              </w:numPr>
              <w:tabs>
                <w:tab w:val="left" w:pos="157"/>
                <w:tab w:val="left" w:pos="720"/>
                <w:tab w:val="left" w:pos="1440"/>
                <w:tab w:val="left" w:pos="2160"/>
                <w:tab w:val="left" w:pos="2880"/>
                <w:tab w:val="left" w:pos="3600"/>
                <w:tab w:val="left" w:pos="4320"/>
                <w:tab w:val="left" w:pos="5040"/>
              </w:tabs>
              <w:autoSpaceDE w:val="0"/>
              <w:autoSpaceDN w:val="0"/>
              <w:adjustRightInd w:val="0"/>
              <w:spacing w:after="0" w:line="240" w:lineRule="auto"/>
              <w:ind w:left="157"/>
              <w:rPr>
                <w:rFonts w:ascii="Times New Roman" w:hAnsi="Times New Roman" w:cs="Times New Roman"/>
              </w:rPr>
            </w:pPr>
            <w:r w:rsidRPr="00B81392">
              <w:rPr>
                <w:rFonts w:ascii="Times New Roman" w:hAnsi="Times New Roman" w:cs="Times New Roman"/>
              </w:rPr>
              <w:t>Release of RFP</w:t>
            </w:r>
          </w:p>
        </w:tc>
        <w:tc>
          <w:tcPr>
            <w:tcW w:w="3060" w:type="dxa"/>
            <w:tcBorders>
              <w:top w:val="single" w:sz="12" w:space="0" w:color="A6A6A6" w:themeColor="background1" w:themeShade="A6"/>
            </w:tcBorders>
            <w:vAlign w:val="center"/>
          </w:tcPr>
          <w:p w:rsidR="00F435BB" w:rsidRPr="00B81392" w:rsidRDefault="00133221" w:rsidP="00B36117">
            <w:pPr>
              <w:keepNext/>
              <w:numPr>
                <w:ilvl w:val="12"/>
                <w:numId w:val="0"/>
              </w:numPr>
              <w:tabs>
                <w:tab w:val="left" w:pos="427"/>
                <w:tab w:val="left" w:pos="720"/>
                <w:tab w:val="left" w:pos="1440"/>
                <w:tab w:val="left" w:pos="2160"/>
                <w:tab w:val="left" w:pos="2880"/>
              </w:tabs>
              <w:autoSpaceDE w:val="0"/>
              <w:autoSpaceDN w:val="0"/>
              <w:adjustRightInd w:val="0"/>
              <w:spacing w:after="0" w:line="240" w:lineRule="auto"/>
              <w:ind w:left="517"/>
              <w:rPr>
                <w:rFonts w:ascii="Times New Roman" w:hAnsi="Times New Roman" w:cs="Times New Roman"/>
              </w:rPr>
            </w:pPr>
            <w:r>
              <w:rPr>
                <w:rFonts w:ascii="Times New Roman" w:hAnsi="Times New Roman" w:cs="Times New Roman"/>
              </w:rPr>
              <w:t xml:space="preserve">April </w:t>
            </w:r>
            <w:r w:rsidR="00F50EB8">
              <w:rPr>
                <w:rFonts w:ascii="Times New Roman" w:hAnsi="Times New Roman" w:cs="Times New Roman"/>
              </w:rPr>
              <w:t>2</w:t>
            </w:r>
            <w:r w:rsidR="00C04CD0">
              <w:rPr>
                <w:rFonts w:ascii="Times New Roman" w:hAnsi="Times New Roman" w:cs="Times New Roman"/>
              </w:rPr>
              <w:t>, 2018</w:t>
            </w:r>
          </w:p>
        </w:tc>
      </w:tr>
      <w:tr w:rsidR="00F435BB" w:rsidRPr="00B81392" w:rsidTr="003B5930">
        <w:trPr>
          <w:trHeight w:val="454"/>
          <w:jc w:val="center"/>
        </w:trPr>
        <w:tc>
          <w:tcPr>
            <w:tcW w:w="5400" w:type="dxa"/>
            <w:vAlign w:val="center"/>
          </w:tcPr>
          <w:p w:rsidR="00F435BB" w:rsidRPr="00B81392" w:rsidRDefault="00F435BB" w:rsidP="003B5930">
            <w:pPr>
              <w:keepNext/>
              <w:numPr>
                <w:ilvl w:val="12"/>
                <w:numId w:val="0"/>
              </w:numPr>
              <w:tabs>
                <w:tab w:val="left" w:pos="157"/>
                <w:tab w:val="left" w:pos="720"/>
                <w:tab w:val="left" w:pos="1440"/>
                <w:tab w:val="left" w:pos="2160"/>
                <w:tab w:val="left" w:pos="2880"/>
                <w:tab w:val="left" w:pos="3600"/>
                <w:tab w:val="left" w:pos="4320"/>
                <w:tab w:val="left" w:pos="5040"/>
              </w:tabs>
              <w:autoSpaceDE w:val="0"/>
              <w:autoSpaceDN w:val="0"/>
              <w:adjustRightInd w:val="0"/>
              <w:spacing w:after="0" w:line="240" w:lineRule="auto"/>
              <w:ind w:left="157"/>
              <w:rPr>
                <w:rFonts w:ascii="Times New Roman" w:hAnsi="Times New Roman" w:cs="Times New Roman"/>
              </w:rPr>
            </w:pPr>
            <w:r w:rsidRPr="00B81392">
              <w:rPr>
                <w:rFonts w:ascii="Times New Roman" w:hAnsi="Times New Roman" w:cs="Times New Roman"/>
              </w:rPr>
              <w:t>Deadline for Questions on RFP</w:t>
            </w:r>
          </w:p>
        </w:tc>
        <w:tc>
          <w:tcPr>
            <w:tcW w:w="3060" w:type="dxa"/>
            <w:vAlign w:val="center"/>
          </w:tcPr>
          <w:p w:rsidR="00F435BB" w:rsidRPr="00B81392" w:rsidRDefault="00F50EB8" w:rsidP="00B36117">
            <w:pPr>
              <w:keepNext/>
              <w:numPr>
                <w:ilvl w:val="12"/>
                <w:numId w:val="0"/>
              </w:numPr>
              <w:tabs>
                <w:tab w:val="left" w:pos="427"/>
                <w:tab w:val="left" w:pos="720"/>
                <w:tab w:val="left" w:pos="1440"/>
                <w:tab w:val="left" w:pos="2160"/>
                <w:tab w:val="left" w:pos="2880"/>
              </w:tabs>
              <w:autoSpaceDE w:val="0"/>
              <w:autoSpaceDN w:val="0"/>
              <w:adjustRightInd w:val="0"/>
              <w:spacing w:after="0" w:line="240" w:lineRule="auto"/>
              <w:ind w:left="517"/>
              <w:rPr>
                <w:rFonts w:ascii="Times New Roman" w:hAnsi="Times New Roman" w:cs="Times New Roman"/>
              </w:rPr>
            </w:pPr>
            <w:r>
              <w:rPr>
                <w:rFonts w:ascii="Times New Roman" w:hAnsi="Times New Roman" w:cs="Times New Roman"/>
              </w:rPr>
              <w:t>April 16, 2018</w:t>
            </w:r>
          </w:p>
        </w:tc>
      </w:tr>
      <w:tr w:rsidR="00F435BB" w:rsidRPr="00B81392" w:rsidTr="003B5930">
        <w:trPr>
          <w:trHeight w:val="454"/>
          <w:jc w:val="center"/>
        </w:trPr>
        <w:tc>
          <w:tcPr>
            <w:tcW w:w="5400" w:type="dxa"/>
            <w:vAlign w:val="center"/>
          </w:tcPr>
          <w:p w:rsidR="00F435BB" w:rsidRPr="00B81392" w:rsidRDefault="00F435BB" w:rsidP="003B5930">
            <w:pPr>
              <w:keepNext/>
              <w:numPr>
                <w:ilvl w:val="12"/>
                <w:numId w:val="0"/>
              </w:numPr>
              <w:tabs>
                <w:tab w:val="left" w:pos="157"/>
                <w:tab w:val="left" w:pos="720"/>
                <w:tab w:val="left" w:pos="1440"/>
                <w:tab w:val="left" w:pos="2160"/>
                <w:tab w:val="left" w:pos="2880"/>
                <w:tab w:val="left" w:pos="3600"/>
                <w:tab w:val="left" w:pos="4320"/>
                <w:tab w:val="left" w:pos="5040"/>
              </w:tabs>
              <w:autoSpaceDE w:val="0"/>
              <w:autoSpaceDN w:val="0"/>
              <w:adjustRightInd w:val="0"/>
              <w:spacing w:after="0" w:line="240" w:lineRule="auto"/>
              <w:ind w:left="157"/>
              <w:rPr>
                <w:rFonts w:ascii="Times New Roman" w:hAnsi="Times New Roman" w:cs="Times New Roman"/>
              </w:rPr>
            </w:pPr>
            <w:r w:rsidRPr="00B81392">
              <w:rPr>
                <w:rFonts w:ascii="Times New Roman" w:hAnsi="Times New Roman" w:cs="Times New Roman"/>
              </w:rPr>
              <w:t>Final Responses to Questions</w:t>
            </w:r>
          </w:p>
        </w:tc>
        <w:tc>
          <w:tcPr>
            <w:tcW w:w="3060" w:type="dxa"/>
            <w:vAlign w:val="center"/>
          </w:tcPr>
          <w:p w:rsidR="00F435BB" w:rsidRPr="00B81392" w:rsidRDefault="00F50EB8" w:rsidP="00B36117">
            <w:pPr>
              <w:keepNext/>
              <w:numPr>
                <w:ilvl w:val="12"/>
                <w:numId w:val="0"/>
              </w:numPr>
              <w:tabs>
                <w:tab w:val="left" w:pos="427"/>
                <w:tab w:val="left" w:pos="720"/>
                <w:tab w:val="left" w:pos="1440"/>
                <w:tab w:val="left" w:pos="2160"/>
                <w:tab w:val="left" w:pos="2880"/>
              </w:tabs>
              <w:autoSpaceDE w:val="0"/>
              <w:autoSpaceDN w:val="0"/>
              <w:adjustRightInd w:val="0"/>
              <w:spacing w:after="0" w:line="240" w:lineRule="auto"/>
              <w:ind w:left="517"/>
              <w:rPr>
                <w:rFonts w:ascii="Times New Roman" w:hAnsi="Times New Roman" w:cs="Times New Roman"/>
              </w:rPr>
            </w:pPr>
            <w:r>
              <w:rPr>
                <w:rFonts w:ascii="Times New Roman" w:hAnsi="Times New Roman" w:cs="Times New Roman"/>
              </w:rPr>
              <w:t>April 23, 2018</w:t>
            </w:r>
          </w:p>
        </w:tc>
      </w:tr>
      <w:tr w:rsidR="00F435BB" w:rsidRPr="00B81392" w:rsidTr="003B5930">
        <w:trPr>
          <w:trHeight w:val="427"/>
          <w:jc w:val="center"/>
        </w:trPr>
        <w:tc>
          <w:tcPr>
            <w:tcW w:w="5400" w:type="dxa"/>
            <w:vAlign w:val="center"/>
          </w:tcPr>
          <w:p w:rsidR="00F435BB" w:rsidRPr="00B81392" w:rsidRDefault="00F435BB" w:rsidP="003B5930">
            <w:pPr>
              <w:keepNext/>
              <w:numPr>
                <w:ilvl w:val="12"/>
                <w:numId w:val="0"/>
              </w:numPr>
              <w:tabs>
                <w:tab w:val="left" w:pos="157"/>
                <w:tab w:val="left" w:pos="720"/>
                <w:tab w:val="left" w:pos="1440"/>
                <w:tab w:val="left" w:pos="2160"/>
                <w:tab w:val="left" w:pos="2880"/>
                <w:tab w:val="left" w:pos="3600"/>
                <w:tab w:val="left" w:pos="4320"/>
                <w:tab w:val="left" w:pos="5040"/>
              </w:tabs>
              <w:autoSpaceDE w:val="0"/>
              <w:autoSpaceDN w:val="0"/>
              <w:adjustRightInd w:val="0"/>
              <w:spacing w:after="0" w:line="240" w:lineRule="auto"/>
              <w:ind w:left="157"/>
              <w:rPr>
                <w:rFonts w:ascii="Times New Roman" w:hAnsi="Times New Roman" w:cs="Times New Roman"/>
              </w:rPr>
            </w:pPr>
            <w:r w:rsidRPr="00B81392">
              <w:rPr>
                <w:rFonts w:ascii="Times New Roman" w:hAnsi="Times New Roman" w:cs="Times New Roman"/>
              </w:rPr>
              <w:t>Proposal Submission Deadline</w:t>
            </w:r>
          </w:p>
        </w:tc>
        <w:tc>
          <w:tcPr>
            <w:tcW w:w="3060" w:type="dxa"/>
            <w:vAlign w:val="center"/>
          </w:tcPr>
          <w:p w:rsidR="00F435BB" w:rsidRPr="00B81392" w:rsidRDefault="00F50EB8" w:rsidP="00B36117">
            <w:pPr>
              <w:keepNext/>
              <w:numPr>
                <w:ilvl w:val="12"/>
                <w:numId w:val="0"/>
              </w:numPr>
              <w:tabs>
                <w:tab w:val="left" w:pos="427"/>
                <w:tab w:val="left" w:pos="720"/>
                <w:tab w:val="left" w:pos="1440"/>
                <w:tab w:val="left" w:pos="2160"/>
                <w:tab w:val="left" w:pos="2880"/>
              </w:tabs>
              <w:autoSpaceDE w:val="0"/>
              <w:autoSpaceDN w:val="0"/>
              <w:adjustRightInd w:val="0"/>
              <w:spacing w:after="0" w:line="240" w:lineRule="auto"/>
              <w:ind w:left="517"/>
              <w:rPr>
                <w:rFonts w:ascii="Times New Roman" w:hAnsi="Times New Roman" w:cs="Times New Roman"/>
              </w:rPr>
            </w:pPr>
            <w:r>
              <w:rPr>
                <w:rFonts w:ascii="Times New Roman" w:hAnsi="Times New Roman" w:cs="Times New Roman"/>
              </w:rPr>
              <w:t>May 1, 2018</w:t>
            </w:r>
            <w:r w:rsidR="00C670A6">
              <w:rPr>
                <w:rFonts w:ascii="Times New Roman" w:hAnsi="Times New Roman" w:cs="Times New Roman"/>
              </w:rPr>
              <w:t>,</w:t>
            </w:r>
            <w:r w:rsidR="00133221">
              <w:rPr>
                <w:rFonts w:ascii="Times New Roman" w:hAnsi="Times New Roman" w:cs="Times New Roman"/>
              </w:rPr>
              <w:t xml:space="preserve"> 4:30 P.M.</w:t>
            </w:r>
            <w:r w:rsidR="00287CC6">
              <w:rPr>
                <w:rFonts w:ascii="Times New Roman" w:hAnsi="Times New Roman" w:cs="Times New Roman"/>
              </w:rPr>
              <w:t xml:space="preserve"> </w:t>
            </w:r>
          </w:p>
        </w:tc>
      </w:tr>
      <w:tr w:rsidR="00C670A6" w:rsidRPr="00B81392" w:rsidTr="003B5930">
        <w:trPr>
          <w:trHeight w:val="445"/>
          <w:jc w:val="center"/>
        </w:trPr>
        <w:tc>
          <w:tcPr>
            <w:tcW w:w="5400" w:type="dxa"/>
            <w:vAlign w:val="center"/>
          </w:tcPr>
          <w:p w:rsidR="00C670A6" w:rsidRPr="00B81392" w:rsidRDefault="00C670A6" w:rsidP="003B5930">
            <w:pPr>
              <w:keepNext/>
              <w:numPr>
                <w:ilvl w:val="12"/>
                <w:numId w:val="0"/>
              </w:numPr>
              <w:tabs>
                <w:tab w:val="left" w:pos="157"/>
                <w:tab w:val="left" w:pos="720"/>
                <w:tab w:val="left" w:pos="1440"/>
                <w:tab w:val="left" w:pos="2160"/>
                <w:tab w:val="left" w:pos="2880"/>
                <w:tab w:val="left" w:pos="3600"/>
                <w:tab w:val="left" w:pos="4320"/>
                <w:tab w:val="left" w:pos="5040"/>
              </w:tabs>
              <w:autoSpaceDE w:val="0"/>
              <w:autoSpaceDN w:val="0"/>
              <w:adjustRightInd w:val="0"/>
              <w:spacing w:after="0" w:line="240" w:lineRule="auto"/>
              <w:ind w:left="157"/>
              <w:rPr>
                <w:rFonts w:ascii="Times New Roman" w:hAnsi="Times New Roman" w:cs="Times New Roman"/>
              </w:rPr>
            </w:pPr>
            <w:r>
              <w:rPr>
                <w:rFonts w:ascii="Times New Roman" w:hAnsi="Times New Roman" w:cs="Times New Roman"/>
              </w:rPr>
              <w:t>Proposal Opening</w:t>
            </w:r>
          </w:p>
        </w:tc>
        <w:tc>
          <w:tcPr>
            <w:tcW w:w="3060" w:type="dxa"/>
            <w:vAlign w:val="center"/>
          </w:tcPr>
          <w:p w:rsidR="00C670A6" w:rsidRDefault="00F50EB8" w:rsidP="00B36117">
            <w:pPr>
              <w:keepNext/>
              <w:numPr>
                <w:ilvl w:val="12"/>
                <w:numId w:val="0"/>
              </w:numPr>
              <w:tabs>
                <w:tab w:val="left" w:pos="427"/>
                <w:tab w:val="left" w:pos="720"/>
                <w:tab w:val="left" w:pos="1440"/>
                <w:tab w:val="left" w:pos="2160"/>
                <w:tab w:val="left" w:pos="2880"/>
              </w:tabs>
              <w:autoSpaceDE w:val="0"/>
              <w:autoSpaceDN w:val="0"/>
              <w:adjustRightInd w:val="0"/>
              <w:spacing w:after="0" w:line="240" w:lineRule="auto"/>
              <w:ind w:left="517"/>
              <w:rPr>
                <w:rFonts w:ascii="Times New Roman" w:hAnsi="Times New Roman" w:cs="Times New Roman"/>
              </w:rPr>
            </w:pPr>
            <w:r>
              <w:rPr>
                <w:rFonts w:ascii="Times New Roman" w:hAnsi="Times New Roman" w:cs="Times New Roman"/>
              </w:rPr>
              <w:t>May 3</w:t>
            </w:r>
            <w:r w:rsidR="00133221">
              <w:rPr>
                <w:rFonts w:ascii="Times New Roman" w:hAnsi="Times New Roman" w:cs="Times New Roman"/>
              </w:rPr>
              <w:t xml:space="preserve">, </w:t>
            </w:r>
            <w:r w:rsidR="00821D1A">
              <w:rPr>
                <w:rFonts w:ascii="Times New Roman" w:hAnsi="Times New Roman" w:cs="Times New Roman"/>
              </w:rPr>
              <w:t xml:space="preserve">2018, </w:t>
            </w:r>
            <w:r w:rsidR="00133221">
              <w:rPr>
                <w:rFonts w:ascii="Times New Roman" w:hAnsi="Times New Roman" w:cs="Times New Roman"/>
              </w:rPr>
              <w:t>2</w:t>
            </w:r>
            <w:r w:rsidR="00F06063">
              <w:rPr>
                <w:rFonts w:ascii="Times New Roman" w:hAnsi="Times New Roman" w:cs="Times New Roman"/>
              </w:rPr>
              <w:t>:00</w:t>
            </w:r>
            <w:r w:rsidR="00133221">
              <w:rPr>
                <w:rFonts w:ascii="Times New Roman" w:hAnsi="Times New Roman" w:cs="Times New Roman"/>
              </w:rPr>
              <w:t xml:space="preserve"> P</w:t>
            </w:r>
            <w:r w:rsidR="00F06063">
              <w:rPr>
                <w:rFonts w:ascii="Times New Roman" w:hAnsi="Times New Roman" w:cs="Times New Roman"/>
              </w:rPr>
              <w:t>.</w:t>
            </w:r>
            <w:r w:rsidR="00133221">
              <w:rPr>
                <w:rFonts w:ascii="Times New Roman" w:hAnsi="Times New Roman" w:cs="Times New Roman"/>
              </w:rPr>
              <w:t>M</w:t>
            </w:r>
            <w:r w:rsidR="00F06063">
              <w:rPr>
                <w:rFonts w:ascii="Times New Roman" w:hAnsi="Times New Roman" w:cs="Times New Roman"/>
              </w:rPr>
              <w:t>.</w:t>
            </w:r>
            <w:r w:rsidR="00287CC6">
              <w:rPr>
                <w:rFonts w:ascii="Times New Roman" w:hAnsi="Times New Roman" w:cs="Times New Roman"/>
              </w:rPr>
              <w:t xml:space="preserve"> </w:t>
            </w:r>
          </w:p>
        </w:tc>
      </w:tr>
      <w:tr w:rsidR="00F435BB" w:rsidRPr="00B81392" w:rsidTr="003B5930">
        <w:trPr>
          <w:trHeight w:val="445"/>
          <w:jc w:val="center"/>
        </w:trPr>
        <w:tc>
          <w:tcPr>
            <w:tcW w:w="5400" w:type="dxa"/>
            <w:vAlign w:val="center"/>
          </w:tcPr>
          <w:p w:rsidR="00F435BB" w:rsidRPr="00B81392" w:rsidRDefault="00F435BB" w:rsidP="003B5930">
            <w:pPr>
              <w:keepNext/>
              <w:numPr>
                <w:ilvl w:val="12"/>
                <w:numId w:val="0"/>
              </w:numPr>
              <w:tabs>
                <w:tab w:val="left" w:pos="157"/>
                <w:tab w:val="left" w:pos="720"/>
                <w:tab w:val="left" w:pos="1440"/>
                <w:tab w:val="left" w:pos="2160"/>
                <w:tab w:val="left" w:pos="2880"/>
                <w:tab w:val="left" w:pos="3600"/>
                <w:tab w:val="left" w:pos="4320"/>
                <w:tab w:val="left" w:pos="5040"/>
              </w:tabs>
              <w:autoSpaceDE w:val="0"/>
              <w:autoSpaceDN w:val="0"/>
              <w:adjustRightInd w:val="0"/>
              <w:spacing w:after="0" w:line="240" w:lineRule="auto"/>
              <w:ind w:left="157"/>
              <w:rPr>
                <w:rFonts w:ascii="Times New Roman" w:hAnsi="Times New Roman" w:cs="Times New Roman"/>
              </w:rPr>
            </w:pPr>
            <w:r w:rsidRPr="00B81392">
              <w:rPr>
                <w:rFonts w:ascii="Times New Roman" w:hAnsi="Times New Roman" w:cs="Times New Roman"/>
              </w:rPr>
              <w:t>Announcement of Award Group</w:t>
            </w:r>
          </w:p>
        </w:tc>
        <w:tc>
          <w:tcPr>
            <w:tcW w:w="3060" w:type="dxa"/>
            <w:vAlign w:val="center"/>
          </w:tcPr>
          <w:p w:rsidR="00F435BB" w:rsidRPr="00B81392" w:rsidRDefault="00617535" w:rsidP="00B36117">
            <w:pPr>
              <w:keepNext/>
              <w:numPr>
                <w:ilvl w:val="12"/>
                <w:numId w:val="0"/>
              </w:numPr>
              <w:tabs>
                <w:tab w:val="left" w:pos="427"/>
                <w:tab w:val="left" w:pos="720"/>
                <w:tab w:val="left" w:pos="1440"/>
                <w:tab w:val="left" w:pos="2160"/>
                <w:tab w:val="left" w:pos="2880"/>
              </w:tabs>
              <w:autoSpaceDE w:val="0"/>
              <w:autoSpaceDN w:val="0"/>
              <w:adjustRightInd w:val="0"/>
              <w:spacing w:after="0" w:line="240" w:lineRule="auto"/>
              <w:ind w:left="517"/>
              <w:rPr>
                <w:rFonts w:ascii="Times New Roman" w:hAnsi="Times New Roman" w:cs="Times New Roman"/>
              </w:rPr>
            </w:pPr>
            <w:r>
              <w:rPr>
                <w:rFonts w:ascii="Times New Roman" w:hAnsi="Times New Roman" w:cs="Times New Roman"/>
              </w:rPr>
              <w:t>June 1, 2018</w:t>
            </w:r>
          </w:p>
        </w:tc>
      </w:tr>
      <w:tr w:rsidR="00F435BB" w:rsidRPr="0086338E" w:rsidTr="003B5930">
        <w:trPr>
          <w:trHeight w:val="454"/>
          <w:jc w:val="center"/>
        </w:trPr>
        <w:tc>
          <w:tcPr>
            <w:tcW w:w="5400" w:type="dxa"/>
            <w:vAlign w:val="center"/>
          </w:tcPr>
          <w:p w:rsidR="00F435BB" w:rsidRPr="00B81392" w:rsidRDefault="00F435BB" w:rsidP="003B5930">
            <w:pPr>
              <w:keepNext/>
              <w:numPr>
                <w:ilvl w:val="12"/>
                <w:numId w:val="0"/>
              </w:numPr>
              <w:tabs>
                <w:tab w:val="left" w:pos="157"/>
                <w:tab w:val="left" w:pos="720"/>
                <w:tab w:val="left" w:pos="1440"/>
                <w:tab w:val="left" w:pos="2160"/>
                <w:tab w:val="left" w:pos="2880"/>
                <w:tab w:val="left" w:pos="3600"/>
                <w:tab w:val="left" w:pos="4320"/>
                <w:tab w:val="left" w:pos="5040"/>
              </w:tabs>
              <w:autoSpaceDE w:val="0"/>
              <w:autoSpaceDN w:val="0"/>
              <w:adjustRightInd w:val="0"/>
              <w:spacing w:after="0" w:line="240" w:lineRule="auto"/>
              <w:ind w:left="157"/>
              <w:rPr>
                <w:rFonts w:ascii="Times New Roman" w:hAnsi="Times New Roman" w:cs="Times New Roman"/>
              </w:rPr>
            </w:pPr>
            <w:r w:rsidRPr="00B81392">
              <w:rPr>
                <w:rFonts w:ascii="Times New Roman" w:hAnsi="Times New Roman" w:cs="Times New Roman"/>
              </w:rPr>
              <w:t>Execution of Standard-Offer Contracts by Award Group</w:t>
            </w:r>
          </w:p>
        </w:tc>
        <w:tc>
          <w:tcPr>
            <w:tcW w:w="3060" w:type="dxa"/>
            <w:vAlign w:val="center"/>
          </w:tcPr>
          <w:p w:rsidR="00F435BB" w:rsidRPr="00B81392" w:rsidRDefault="00617535" w:rsidP="00B36117">
            <w:pPr>
              <w:keepNext/>
              <w:numPr>
                <w:ilvl w:val="12"/>
                <w:numId w:val="0"/>
              </w:numPr>
              <w:tabs>
                <w:tab w:val="left" w:pos="427"/>
                <w:tab w:val="left" w:pos="720"/>
                <w:tab w:val="left" w:pos="1440"/>
                <w:tab w:val="left" w:pos="2160"/>
                <w:tab w:val="left" w:pos="2880"/>
              </w:tabs>
              <w:autoSpaceDE w:val="0"/>
              <w:autoSpaceDN w:val="0"/>
              <w:adjustRightInd w:val="0"/>
              <w:spacing w:after="0" w:line="240" w:lineRule="auto"/>
              <w:ind w:left="517"/>
              <w:rPr>
                <w:rFonts w:ascii="Times New Roman" w:hAnsi="Times New Roman" w:cs="Times New Roman"/>
              </w:rPr>
            </w:pPr>
            <w:r>
              <w:rPr>
                <w:rFonts w:ascii="Times New Roman" w:hAnsi="Times New Roman" w:cs="Times New Roman"/>
              </w:rPr>
              <w:t>July 13, 2018</w:t>
            </w:r>
          </w:p>
        </w:tc>
      </w:tr>
    </w:tbl>
    <w:p w:rsidR="0086338E" w:rsidRPr="0086338E" w:rsidRDefault="002832ED" w:rsidP="00114E0F">
      <w:pPr>
        <w:pStyle w:val="Heading2"/>
        <w:spacing w:before="240" w:after="120" w:line="240" w:lineRule="auto"/>
        <w:rPr>
          <w:rFonts w:ascii="Times New Roman" w:hAnsi="Times New Roman" w:cs="Times New Roman"/>
        </w:rPr>
      </w:pPr>
      <w:bookmarkStart w:id="11" w:name="_Toc349812083"/>
      <w:bookmarkStart w:id="12" w:name="_Toc509494715"/>
      <w:r>
        <w:rPr>
          <w:rFonts w:ascii="Times New Roman" w:hAnsi="Times New Roman" w:cs="Times New Roman"/>
        </w:rPr>
        <w:t xml:space="preserve">2.2 </w:t>
      </w:r>
      <w:r w:rsidR="0086338E" w:rsidRPr="0086338E">
        <w:rPr>
          <w:rFonts w:ascii="Times New Roman" w:hAnsi="Times New Roman" w:cs="Times New Roman"/>
        </w:rPr>
        <w:t>Proposal Submission</w:t>
      </w:r>
      <w:bookmarkEnd w:id="11"/>
      <w:bookmarkEnd w:id="12"/>
      <w:r w:rsidR="0086338E" w:rsidRPr="0086338E">
        <w:rPr>
          <w:rFonts w:ascii="Times New Roman" w:hAnsi="Times New Roman" w:cs="Times New Roman"/>
        </w:rPr>
        <w:tab/>
      </w:r>
    </w:p>
    <w:p w:rsid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t xml:space="preserve">Proposals and a completed bid form (attached to this RFP) are to be labeled as indicated below and delivered to the </w:t>
      </w:r>
      <w:r w:rsidR="009374A8">
        <w:rPr>
          <w:rFonts w:ascii="Times New Roman" w:hAnsi="Times New Roman" w:cs="Times New Roman"/>
        </w:rPr>
        <w:t>following address prior to the proposal submission d</w:t>
      </w:r>
      <w:r w:rsidRPr="0086338E">
        <w:rPr>
          <w:rFonts w:ascii="Times New Roman" w:hAnsi="Times New Roman" w:cs="Times New Roman"/>
        </w:rPr>
        <w:t xml:space="preserve">eadline: </w:t>
      </w:r>
    </w:p>
    <w:p w:rsidR="002164BA" w:rsidRPr="0086338E" w:rsidRDefault="002164BA"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86338E" w:rsidRPr="0086338E" w:rsidRDefault="002164BA"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Vermont Standard-Offer Program</w:t>
      </w:r>
      <w:r w:rsidR="0086338E" w:rsidRPr="0086338E">
        <w:rPr>
          <w:rFonts w:ascii="Times New Roman" w:hAnsi="Times New Roman" w:cs="Times New Roman"/>
        </w:rPr>
        <w:t xml:space="preserve"> RFP: Proposal</w:t>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b/>
          <w:bCs/>
        </w:rPr>
      </w:pPr>
      <w:r w:rsidRPr="0086338E">
        <w:rPr>
          <w:rFonts w:ascii="Times New Roman" w:hAnsi="Times New Roman" w:cs="Times New Roman"/>
          <w:b/>
          <w:bCs/>
        </w:rPr>
        <w:t>Mail Address:</w:t>
      </w:r>
      <w:r w:rsidRPr="0086338E">
        <w:rPr>
          <w:rFonts w:ascii="Times New Roman" w:hAnsi="Times New Roman" w:cs="Times New Roman"/>
          <w:b/>
          <w:bCs/>
        </w:rPr>
        <w:tab/>
      </w:r>
      <w:r w:rsidRPr="0086338E">
        <w:rPr>
          <w:rFonts w:ascii="Times New Roman" w:hAnsi="Times New Roman" w:cs="Times New Roman"/>
          <w:b/>
          <w:bCs/>
        </w:rPr>
        <w:tab/>
      </w:r>
      <w:r w:rsidRPr="0086338E">
        <w:rPr>
          <w:rFonts w:ascii="Times New Roman" w:hAnsi="Times New Roman" w:cs="Times New Roman"/>
          <w:b/>
          <w:bCs/>
        </w:rPr>
        <w:tab/>
      </w:r>
      <w:r w:rsidRPr="0086338E">
        <w:rPr>
          <w:rFonts w:ascii="Times New Roman" w:hAnsi="Times New Roman" w:cs="Times New Roman"/>
          <w:b/>
          <w:bCs/>
        </w:rPr>
        <w:tab/>
      </w:r>
      <w:r w:rsidRPr="0086338E">
        <w:rPr>
          <w:rFonts w:ascii="Times New Roman" w:hAnsi="Times New Roman" w:cs="Times New Roman"/>
          <w:b/>
          <w:bCs/>
        </w:rPr>
        <w:tab/>
        <w:t>Physical Address:</w:t>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t>VEPP Inc.</w:t>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rPr>
        <w:tab/>
        <w:t>VEPP Inc.</w:t>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t xml:space="preserve">P.O. Box 1938 </w:t>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color w:val="222222"/>
        </w:rPr>
        <w:t xml:space="preserve">1965 Depot </w:t>
      </w:r>
      <w:r w:rsidR="002832ED">
        <w:rPr>
          <w:rFonts w:ascii="Times New Roman" w:hAnsi="Times New Roman" w:cs="Times New Roman"/>
          <w:color w:val="222222"/>
        </w:rPr>
        <w:t>Street</w:t>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t xml:space="preserve">Manchester Center, VT 05255 </w:t>
      </w:r>
      <w:r w:rsidRPr="0086338E">
        <w:rPr>
          <w:rFonts w:ascii="Times New Roman" w:hAnsi="Times New Roman" w:cs="Times New Roman"/>
        </w:rPr>
        <w:tab/>
      </w:r>
      <w:r w:rsidRPr="0086338E">
        <w:rPr>
          <w:rFonts w:ascii="Times New Roman" w:hAnsi="Times New Roman" w:cs="Times New Roman"/>
        </w:rPr>
        <w:tab/>
      </w:r>
      <w:r w:rsidRPr="0086338E">
        <w:rPr>
          <w:rFonts w:ascii="Times New Roman" w:hAnsi="Times New Roman" w:cs="Times New Roman"/>
        </w:rPr>
        <w:tab/>
        <w:t>Manchester Center, VT 05255</w:t>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2164BA" w:rsidRDefault="009374A8"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i/>
        </w:rPr>
      </w:pPr>
      <w:r>
        <w:rPr>
          <w:rFonts w:ascii="Times New Roman" w:hAnsi="Times New Roman" w:cs="Times New Roman"/>
        </w:rPr>
        <w:t>The p</w:t>
      </w:r>
      <w:r w:rsidR="0086338E" w:rsidRPr="0086338E">
        <w:rPr>
          <w:rFonts w:ascii="Times New Roman" w:hAnsi="Times New Roman" w:cs="Times New Roman"/>
        </w:rPr>
        <w:t>roposal submission package should include a completed bid form and indic</w:t>
      </w:r>
      <w:r>
        <w:rPr>
          <w:rFonts w:ascii="Times New Roman" w:hAnsi="Times New Roman" w:cs="Times New Roman"/>
        </w:rPr>
        <w:t>ate the full legal name of the p</w:t>
      </w:r>
      <w:r w:rsidR="0086338E" w:rsidRPr="0086338E">
        <w:rPr>
          <w:rFonts w:ascii="Times New Roman" w:hAnsi="Times New Roman" w:cs="Times New Roman"/>
        </w:rPr>
        <w:t>roponent and its return address.</w:t>
      </w:r>
      <w:r w:rsidR="00777757">
        <w:rPr>
          <w:rFonts w:ascii="Times New Roman" w:hAnsi="Times New Roman" w:cs="Times New Roman"/>
        </w:rPr>
        <w:t xml:space="preserve">  </w:t>
      </w:r>
      <w:r w:rsidR="00777757" w:rsidRPr="00777757">
        <w:rPr>
          <w:rFonts w:ascii="Times New Roman" w:hAnsi="Times New Roman" w:cs="Times New Roman"/>
        </w:rPr>
        <w:t xml:space="preserve">Each proposal submission package should be enclosed in a </w:t>
      </w:r>
      <w:r w:rsidR="00777757" w:rsidRPr="00072FB5">
        <w:rPr>
          <w:rFonts w:ascii="Times New Roman" w:hAnsi="Times New Roman" w:cs="Times New Roman"/>
          <w:i/>
        </w:rPr>
        <w:t>separate envelope.</w:t>
      </w:r>
    </w:p>
    <w:p w:rsidR="0093714C" w:rsidRPr="0093714C" w:rsidRDefault="0093714C"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i/>
        </w:rPr>
      </w:pP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t>Proponents are n</w:t>
      </w:r>
      <w:r w:rsidR="00C04CD0">
        <w:rPr>
          <w:rFonts w:ascii="Times New Roman" w:hAnsi="Times New Roman" w:cs="Times New Roman"/>
        </w:rPr>
        <w:t>ot to contact staff of the Commission</w:t>
      </w:r>
      <w:r w:rsidRPr="0086338E">
        <w:rPr>
          <w:rFonts w:ascii="Times New Roman" w:hAnsi="Times New Roman" w:cs="Times New Roman"/>
        </w:rPr>
        <w:t xml:space="preserve">, the Vermont Department </w:t>
      </w:r>
      <w:r w:rsidR="00114E0F">
        <w:rPr>
          <w:rFonts w:ascii="Times New Roman" w:hAnsi="Times New Roman" w:cs="Times New Roman"/>
        </w:rPr>
        <w:t xml:space="preserve">of Public Service, or VEPP </w:t>
      </w:r>
      <w:r w:rsidRPr="0086338E">
        <w:rPr>
          <w:rFonts w:ascii="Times New Roman" w:hAnsi="Times New Roman" w:cs="Times New Roman"/>
        </w:rPr>
        <w:t>with respect to matters related to this RFP except through the channels identifi</w:t>
      </w:r>
      <w:r w:rsidR="009374A8">
        <w:rPr>
          <w:rFonts w:ascii="Times New Roman" w:hAnsi="Times New Roman" w:cs="Times New Roman"/>
        </w:rPr>
        <w:t>ed in this RFP.  No proponent or project team m</w:t>
      </w:r>
      <w:r w:rsidRPr="0086338E">
        <w:rPr>
          <w:rFonts w:ascii="Times New Roman" w:hAnsi="Times New Roman" w:cs="Times New Roman"/>
        </w:rPr>
        <w:t>ember shall engage in any fraudulent, misleading, manipulative, collusive, or noncompetitive behavior with</w:t>
      </w:r>
      <w:r w:rsidR="009374A8">
        <w:rPr>
          <w:rFonts w:ascii="Times New Roman" w:hAnsi="Times New Roman" w:cs="Times New Roman"/>
        </w:rPr>
        <w:t xml:space="preserve"> respect to the pricing of its p</w:t>
      </w:r>
      <w:r w:rsidRPr="0086338E">
        <w:rPr>
          <w:rFonts w:ascii="Times New Roman" w:hAnsi="Times New Roman" w:cs="Times New Roman"/>
        </w:rPr>
        <w:t>roposal.  Any such behavior may be investigated and prosecuted in accordance with any and all applicable regulations and laws.  Any suc</w:t>
      </w:r>
      <w:r w:rsidR="009374A8">
        <w:rPr>
          <w:rFonts w:ascii="Times New Roman" w:hAnsi="Times New Roman" w:cs="Times New Roman"/>
        </w:rPr>
        <w:t>h behavior will disqualify the proponent or the proposal of the p</w:t>
      </w:r>
      <w:r w:rsidRPr="0086338E">
        <w:rPr>
          <w:rFonts w:ascii="Times New Roman" w:hAnsi="Times New Roman" w:cs="Times New Roman"/>
        </w:rPr>
        <w:t>roponent from the RFP.</w:t>
      </w:r>
    </w:p>
    <w:p w:rsidR="0086338E" w:rsidRPr="0086338E" w:rsidRDefault="00671833" w:rsidP="00F435BB">
      <w:pPr>
        <w:pStyle w:val="Heading2"/>
        <w:rPr>
          <w:rFonts w:ascii="Times New Roman" w:hAnsi="Times New Roman" w:cs="Times New Roman"/>
        </w:rPr>
      </w:pPr>
      <w:bookmarkStart w:id="13" w:name="_Toc349812084"/>
      <w:bookmarkStart w:id="14" w:name="_Toc509494716"/>
      <w:r>
        <w:rPr>
          <w:rFonts w:ascii="Times New Roman" w:hAnsi="Times New Roman" w:cs="Times New Roman"/>
        </w:rPr>
        <w:lastRenderedPageBreak/>
        <w:t xml:space="preserve">2.3 </w:t>
      </w:r>
      <w:r w:rsidR="0086338E" w:rsidRPr="0086338E">
        <w:rPr>
          <w:rFonts w:ascii="Times New Roman" w:hAnsi="Times New Roman" w:cs="Times New Roman"/>
        </w:rPr>
        <w:t>Confidentiality</w:t>
      </w:r>
      <w:bookmarkEnd w:id="13"/>
      <w:bookmarkEnd w:id="14"/>
      <w:r w:rsidR="0086338E" w:rsidRPr="0086338E">
        <w:rPr>
          <w:rFonts w:ascii="Times New Roman" w:hAnsi="Times New Roman" w:cs="Times New Roman"/>
        </w:rPr>
        <w:tab/>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t>Proponents should be aware that all materials associated with the RFP are subject to the terms of the Vermont Access to Public Records Act (1 V.S.A. Chapter 5, Subchapter 3) and all rules, regulations</w:t>
      </w:r>
      <w:r w:rsidR="00F77DAC">
        <w:rPr>
          <w:rFonts w:ascii="Times New Roman" w:hAnsi="Times New Roman" w:cs="Times New Roman"/>
        </w:rPr>
        <w:t>,</w:t>
      </w:r>
      <w:r w:rsidRPr="0086338E">
        <w:rPr>
          <w:rFonts w:ascii="Times New Roman" w:hAnsi="Times New Roman" w:cs="Times New Roman"/>
        </w:rPr>
        <w:t xml:space="preserve"> and interpretations resulting therefrom</w:t>
      </w:r>
      <w:r w:rsidR="00C04CD0">
        <w:rPr>
          <w:rFonts w:ascii="Times New Roman" w:hAnsi="Times New Roman" w:cs="Times New Roman"/>
        </w:rPr>
        <w:t>, including those from the Commission</w:t>
      </w:r>
      <w:r w:rsidRPr="0086338E">
        <w:rPr>
          <w:rFonts w:ascii="Times New Roman" w:hAnsi="Times New Roman" w:cs="Times New Roman"/>
        </w:rPr>
        <w:t>, the office of the Attorney General of the State of Vermont, the office of the Vermont Secretary of State, and any other applicable rules, regulations</w:t>
      </w:r>
      <w:r w:rsidR="0046529D">
        <w:rPr>
          <w:rFonts w:ascii="Times New Roman" w:hAnsi="Times New Roman" w:cs="Times New Roman"/>
        </w:rPr>
        <w:t>,</w:t>
      </w:r>
      <w:r w:rsidRPr="0086338E">
        <w:rPr>
          <w:rFonts w:ascii="Times New Roman" w:hAnsi="Times New Roman" w:cs="Times New Roman"/>
        </w:rPr>
        <w:t xml:space="preserve"> or judicial decisions regarding access to the records of government. </w:t>
      </w: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86338E" w:rsidRPr="0086338E" w:rsidRDefault="00C04CD0"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The Commission</w:t>
      </w:r>
      <w:r w:rsidR="0086338E" w:rsidRPr="0086338E">
        <w:rPr>
          <w:rFonts w:ascii="Times New Roman" w:hAnsi="Times New Roman" w:cs="Times New Roman"/>
        </w:rPr>
        <w:t xml:space="preserve"> does not favor the filing of proprietary information in this co</w:t>
      </w:r>
      <w:r>
        <w:rPr>
          <w:rFonts w:ascii="Times New Roman" w:hAnsi="Times New Roman" w:cs="Times New Roman"/>
        </w:rPr>
        <w:t>ntext.  In particular, the Commission</w:t>
      </w:r>
      <w:r w:rsidR="0086338E" w:rsidRPr="0086338E">
        <w:rPr>
          <w:rFonts w:ascii="Times New Roman" w:hAnsi="Times New Roman" w:cs="Times New Roman"/>
        </w:rPr>
        <w:t xml:space="preserve"> does not anticipate that price information wil</w:t>
      </w:r>
      <w:r w:rsidR="009374A8">
        <w:rPr>
          <w:rFonts w:ascii="Times New Roman" w:hAnsi="Times New Roman" w:cs="Times New Roman"/>
        </w:rPr>
        <w:t>l be deemed proprietary.  If a p</w:t>
      </w:r>
      <w:r w:rsidR="0086338E" w:rsidRPr="0086338E">
        <w:rPr>
          <w:rFonts w:ascii="Times New Roman" w:hAnsi="Times New Roman" w:cs="Times New Roman"/>
        </w:rPr>
        <w:t>roponent believes it necessary to include allegedly confidential material in a bid, all such materials must be submitted in a separat</w:t>
      </w:r>
      <w:r w:rsidR="00F77DAC">
        <w:rPr>
          <w:rFonts w:ascii="Times New Roman" w:hAnsi="Times New Roman" w:cs="Times New Roman"/>
        </w:rPr>
        <w:t>e sealed envelope and marked “CONFIDENTIAL.”</w:t>
      </w:r>
      <w:r w:rsidR="0086338E" w:rsidRPr="0086338E">
        <w:rPr>
          <w:rFonts w:ascii="Times New Roman" w:hAnsi="Times New Roman" w:cs="Times New Roman"/>
        </w:rPr>
        <w:t xml:space="preserve">  </w:t>
      </w: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86338E" w:rsidRPr="0086338E" w:rsidRDefault="009374A8"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It will not be sufficient for p</w:t>
      </w:r>
      <w:r w:rsidR="0086338E" w:rsidRPr="0086338E">
        <w:rPr>
          <w:rFonts w:ascii="Times New Roman" w:hAnsi="Times New Roman" w:cs="Times New Roman"/>
        </w:rPr>
        <w:t>roponents to merely state generally that the proposal is proprietary in nature and not therefore subject to release to third parties.  Those partic</w:t>
      </w:r>
      <w:r>
        <w:rPr>
          <w:rFonts w:ascii="Times New Roman" w:hAnsi="Times New Roman" w:cs="Times New Roman"/>
        </w:rPr>
        <w:t>ular pages or sections which a p</w:t>
      </w:r>
      <w:r w:rsidR="0086338E" w:rsidRPr="0086338E">
        <w:rPr>
          <w:rFonts w:ascii="Times New Roman" w:hAnsi="Times New Roman" w:cs="Times New Roman"/>
        </w:rPr>
        <w:t>roponent believes to be proprietary and of a trade secret nature must be specifically identified as such and must be separated from other sections or pages of its proposal.  Convincing explanation and rationale sufficient to justify each exemption from release consistent with Section 316 of Title 1 of the Vermont Statutes Annotated must accompany the proposal.  The rationale and explanation must be stated in terms of the prospective harm to the competitive position of the vendor that would result if the material were to be released and the reasons why the materials are legally exempt from release pursuant to the above-cited statute.  Proponents must understand and agree that final discretion to release or exempt any or all material so</w:t>
      </w:r>
      <w:r w:rsidR="00C04CD0">
        <w:rPr>
          <w:rFonts w:ascii="Times New Roman" w:hAnsi="Times New Roman" w:cs="Times New Roman"/>
        </w:rPr>
        <w:t xml:space="preserve"> identified rests with the Commission, and that a Commission</w:t>
      </w:r>
      <w:r w:rsidR="0086338E" w:rsidRPr="0086338E">
        <w:rPr>
          <w:rFonts w:ascii="Times New Roman" w:hAnsi="Times New Roman" w:cs="Times New Roman"/>
        </w:rPr>
        <w:t xml:space="preserve"> decision to exempt any information may be subject to judicial review.</w:t>
      </w:r>
    </w:p>
    <w:p w:rsidR="0086338E" w:rsidRPr="0086338E" w:rsidRDefault="006F66D2" w:rsidP="00114E0F">
      <w:pPr>
        <w:pStyle w:val="Heading2"/>
        <w:spacing w:before="240" w:after="120" w:line="240" w:lineRule="auto"/>
        <w:rPr>
          <w:rFonts w:ascii="Times New Roman" w:hAnsi="Times New Roman" w:cs="Times New Roman"/>
        </w:rPr>
      </w:pPr>
      <w:bookmarkStart w:id="15" w:name="_Toc349812085"/>
      <w:bookmarkStart w:id="16" w:name="_Toc509494717"/>
      <w:r>
        <w:rPr>
          <w:rFonts w:ascii="Times New Roman" w:hAnsi="Times New Roman" w:cs="Times New Roman"/>
        </w:rPr>
        <w:t xml:space="preserve">2.4 </w:t>
      </w:r>
      <w:r w:rsidR="0086338E" w:rsidRPr="0086338E">
        <w:rPr>
          <w:rFonts w:ascii="Times New Roman" w:hAnsi="Times New Roman" w:cs="Times New Roman"/>
        </w:rPr>
        <w:t>Proposal Security</w:t>
      </w:r>
      <w:bookmarkEnd w:id="15"/>
      <w:bookmarkEnd w:id="16"/>
      <w:r w:rsidR="0086338E" w:rsidRPr="0086338E">
        <w:rPr>
          <w:rFonts w:ascii="Times New Roman" w:hAnsi="Times New Roman" w:cs="Times New Roman"/>
        </w:rPr>
        <w:tab/>
      </w:r>
    </w:p>
    <w:p w:rsidR="0086338E" w:rsidRPr="0086338E" w:rsidRDefault="009374A8"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Proposal s</w:t>
      </w:r>
      <w:r w:rsidR="0086338E" w:rsidRPr="0086338E">
        <w:rPr>
          <w:rFonts w:ascii="Times New Roman" w:hAnsi="Times New Roman" w:cs="Times New Roman"/>
        </w:rPr>
        <w:t>ecurity must</w:t>
      </w:r>
      <w:r w:rsidR="00F77DAC">
        <w:rPr>
          <w:rFonts w:ascii="Times New Roman" w:hAnsi="Times New Roman" w:cs="Times New Roman"/>
        </w:rPr>
        <w:t xml:space="preserve"> be payable to and in favor of “VEPP Inc. - In Trust”</w:t>
      </w:r>
      <w:r w:rsidR="0086338E" w:rsidRPr="0086338E">
        <w:rPr>
          <w:rFonts w:ascii="Times New Roman" w:hAnsi="Times New Roman" w:cs="Times New Roman"/>
        </w:rPr>
        <w:t xml:space="preserve">  in the amount of $10 per kW of in</w:t>
      </w:r>
      <w:r>
        <w:rPr>
          <w:rFonts w:ascii="Times New Roman" w:hAnsi="Times New Roman" w:cs="Times New Roman"/>
        </w:rPr>
        <w:t>stalled AC capacity.  Proposal s</w:t>
      </w:r>
      <w:r w:rsidR="0086338E" w:rsidRPr="0086338E">
        <w:rPr>
          <w:rFonts w:ascii="Times New Roman" w:hAnsi="Times New Roman" w:cs="Times New Roman"/>
        </w:rPr>
        <w:t xml:space="preserve">ecurity must be in the form of a certified check or bank draft.  </w:t>
      </w: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86338E" w:rsidRPr="00BD7554" w:rsidRDefault="009374A8"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Proposal s</w:t>
      </w:r>
      <w:r w:rsidR="0086338E" w:rsidRPr="0086338E">
        <w:rPr>
          <w:rFonts w:ascii="Times New Roman" w:hAnsi="Times New Roman" w:cs="Times New Roman"/>
        </w:rPr>
        <w:t>ecurity wi</w:t>
      </w:r>
      <w:r>
        <w:rPr>
          <w:rFonts w:ascii="Times New Roman" w:hAnsi="Times New Roman" w:cs="Times New Roman"/>
        </w:rPr>
        <w:t>ll be returned to unsuccessful p</w:t>
      </w:r>
      <w:r w:rsidR="0086338E" w:rsidRPr="0086338E">
        <w:rPr>
          <w:rFonts w:ascii="Times New Roman" w:hAnsi="Times New Roman" w:cs="Times New Roman"/>
        </w:rPr>
        <w:t>roponents within 10 business days of the announcement o</w:t>
      </w:r>
      <w:r>
        <w:rPr>
          <w:rFonts w:ascii="Times New Roman" w:hAnsi="Times New Roman" w:cs="Times New Roman"/>
        </w:rPr>
        <w:t>f the award group.  Successful p</w:t>
      </w:r>
      <w:r w:rsidR="0086338E" w:rsidRPr="0086338E">
        <w:rPr>
          <w:rFonts w:ascii="Times New Roman" w:hAnsi="Times New Roman" w:cs="Times New Roman"/>
        </w:rPr>
        <w:t xml:space="preserve">roponents who fail to execute the standard-offer contract within </w:t>
      </w:r>
      <w:r w:rsidR="00CE7225">
        <w:rPr>
          <w:rFonts w:ascii="Times New Roman" w:hAnsi="Times New Roman" w:cs="Times New Roman"/>
        </w:rPr>
        <w:t>30 business</w:t>
      </w:r>
      <w:r w:rsidR="0086338E" w:rsidRPr="0086338E">
        <w:rPr>
          <w:rFonts w:ascii="Times New Roman" w:hAnsi="Times New Roman" w:cs="Times New Roman"/>
        </w:rPr>
        <w:t xml:space="preserve"> days of notification that they have been awarded</w:t>
      </w:r>
      <w:r>
        <w:rPr>
          <w:rFonts w:ascii="Times New Roman" w:hAnsi="Times New Roman" w:cs="Times New Roman"/>
        </w:rPr>
        <w:t xml:space="preserve"> a contract will forfeit their proposal security.  Proposal s</w:t>
      </w:r>
      <w:r w:rsidR="0086338E" w:rsidRPr="0086338E">
        <w:rPr>
          <w:rFonts w:ascii="Times New Roman" w:hAnsi="Times New Roman" w:cs="Times New Roman"/>
        </w:rPr>
        <w:t>ecurity will be returned upon commissioning of a st</w:t>
      </w:r>
      <w:r>
        <w:rPr>
          <w:rFonts w:ascii="Times New Roman" w:hAnsi="Times New Roman" w:cs="Times New Roman"/>
        </w:rPr>
        <w:t xml:space="preserve">andard-offer project. </w:t>
      </w:r>
      <w:r w:rsidR="00A6108B">
        <w:rPr>
          <w:rFonts w:ascii="Times New Roman" w:hAnsi="Times New Roman" w:cs="Times New Roman"/>
        </w:rPr>
        <w:t xml:space="preserve"> </w:t>
      </w:r>
      <w:r>
        <w:rPr>
          <w:rFonts w:ascii="Times New Roman" w:hAnsi="Times New Roman" w:cs="Times New Roman"/>
        </w:rPr>
        <w:t>Proposal security will be returned to p</w:t>
      </w:r>
      <w:r w:rsidR="0086338E" w:rsidRPr="0086338E">
        <w:rPr>
          <w:rFonts w:ascii="Times New Roman" w:hAnsi="Times New Roman" w:cs="Times New Roman"/>
        </w:rPr>
        <w:t>r</w:t>
      </w:r>
      <w:r>
        <w:rPr>
          <w:rFonts w:ascii="Times New Roman" w:hAnsi="Times New Roman" w:cs="Times New Roman"/>
        </w:rPr>
        <w:t>oponents who withdraw from the r</w:t>
      </w:r>
      <w:r w:rsidR="0086338E" w:rsidRPr="0086338E">
        <w:rPr>
          <w:rFonts w:ascii="Times New Roman" w:hAnsi="Times New Roman" w:cs="Times New Roman"/>
        </w:rPr>
        <w:t>eserve before January 1</w:t>
      </w:r>
      <w:r w:rsidR="0086338E" w:rsidRPr="0086338E">
        <w:rPr>
          <w:rFonts w:ascii="Times New Roman" w:hAnsi="Times New Roman" w:cs="Times New Roman"/>
          <w:vertAlign w:val="superscript"/>
        </w:rPr>
        <w:t>st</w:t>
      </w:r>
      <w:r w:rsidR="0086338E" w:rsidRPr="0086338E">
        <w:rPr>
          <w:rFonts w:ascii="Times New Roman" w:hAnsi="Times New Roman" w:cs="Times New Roman"/>
        </w:rPr>
        <w:t>.</w:t>
      </w:r>
      <w:r>
        <w:rPr>
          <w:rFonts w:ascii="Times New Roman" w:hAnsi="Times New Roman" w:cs="Times New Roman"/>
        </w:rPr>
        <w:t xml:space="preserve">  Proposal security will be returned to p</w:t>
      </w:r>
      <w:r w:rsidR="006F66D2">
        <w:rPr>
          <w:rFonts w:ascii="Times New Roman" w:hAnsi="Times New Roman" w:cs="Times New Roman"/>
        </w:rPr>
        <w:t xml:space="preserve">roponents not selected </w:t>
      </w:r>
      <w:r>
        <w:rPr>
          <w:rFonts w:ascii="Times New Roman" w:hAnsi="Times New Roman" w:cs="Times New Roman"/>
        </w:rPr>
        <w:t>from the r</w:t>
      </w:r>
      <w:r w:rsidR="001D2F34">
        <w:rPr>
          <w:rFonts w:ascii="Times New Roman" w:hAnsi="Times New Roman" w:cs="Times New Roman"/>
        </w:rPr>
        <w:t xml:space="preserve">eserve </w:t>
      </w:r>
      <w:r w:rsidR="006F66D2">
        <w:rPr>
          <w:rFonts w:ascii="Times New Roman" w:hAnsi="Times New Roman" w:cs="Times New Roman"/>
        </w:rPr>
        <w:t>by January 1</w:t>
      </w:r>
      <w:r w:rsidR="006F66D2" w:rsidRPr="006F66D2">
        <w:rPr>
          <w:rFonts w:ascii="Times New Roman" w:hAnsi="Times New Roman" w:cs="Times New Roman"/>
          <w:vertAlign w:val="superscript"/>
        </w:rPr>
        <w:t>st</w:t>
      </w:r>
      <w:r w:rsidR="006F66D2">
        <w:rPr>
          <w:rFonts w:ascii="Times New Roman" w:hAnsi="Times New Roman" w:cs="Times New Roman"/>
        </w:rPr>
        <w:t>.</w:t>
      </w:r>
    </w:p>
    <w:p w:rsidR="0086338E" w:rsidRPr="0086338E" w:rsidRDefault="00DB73ED" w:rsidP="00114E0F">
      <w:pPr>
        <w:pStyle w:val="Heading2"/>
        <w:spacing w:before="240" w:after="120" w:line="240" w:lineRule="auto"/>
        <w:rPr>
          <w:rFonts w:ascii="Times New Roman" w:hAnsi="Times New Roman" w:cs="Times New Roman"/>
        </w:rPr>
      </w:pPr>
      <w:bookmarkStart w:id="17" w:name="_Toc349309609"/>
      <w:bookmarkStart w:id="18" w:name="_Toc349632988"/>
      <w:bookmarkStart w:id="19" w:name="_Toc349812086"/>
      <w:bookmarkStart w:id="20" w:name="_Toc509494718"/>
      <w:bookmarkEnd w:id="17"/>
      <w:bookmarkEnd w:id="18"/>
      <w:r>
        <w:rPr>
          <w:rFonts w:ascii="Times New Roman" w:hAnsi="Times New Roman" w:cs="Times New Roman"/>
        </w:rPr>
        <w:t xml:space="preserve">2.5 </w:t>
      </w:r>
      <w:r w:rsidR="0086338E" w:rsidRPr="0086338E">
        <w:rPr>
          <w:rFonts w:ascii="Times New Roman" w:hAnsi="Times New Roman" w:cs="Times New Roman"/>
        </w:rPr>
        <w:t>Notification and Selected Proponents</w:t>
      </w:r>
      <w:bookmarkEnd w:id="19"/>
      <w:bookmarkEnd w:id="20"/>
      <w:r w:rsidR="0086338E" w:rsidRPr="0086338E">
        <w:rPr>
          <w:rFonts w:ascii="Times New Roman" w:hAnsi="Times New Roman" w:cs="Times New Roman"/>
        </w:rPr>
        <w:tab/>
      </w:r>
    </w:p>
    <w:p w:rsidR="0086338E" w:rsidRPr="0086338E" w:rsidRDefault="00114E0F"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VEPP</w:t>
      </w:r>
      <w:r w:rsidR="009374A8">
        <w:rPr>
          <w:rFonts w:ascii="Times New Roman" w:hAnsi="Times New Roman" w:cs="Times New Roman"/>
        </w:rPr>
        <w:t xml:space="preserve"> will notify each selected proponent in the award g</w:t>
      </w:r>
      <w:r w:rsidR="0086338E" w:rsidRPr="0086338E">
        <w:rPr>
          <w:rFonts w:ascii="Times New Roman" w:hAnsi="Times New Roman" w:cs="Times New Roman"/>
        </w:rPr>
        <w:t>roup in writing, electronically, or verbally of</w:t>
      </w:r>
      <w:r w:rsidR="009374A8">
        <w:rPr>
          <w:rFonts w:ascii="Times New Roman" w:hAnsi="Times New Roman" w:cs="Times New Roman"/>
        </w:rPr>
        <w:t xml:space="preserve"> its selection.  Each selected p</w:t>
      </w:r>
      <w:r w:rsidR="0086338E" w:rsidRPr="0086338E">
        <w:rPr>
          <w:rFonts w:ascii="Times New Roman" w:hAnsi="Times New Roman" w:cs="Times New Roman"/>
        </w:rPr>
        <w:t>roponent must execute the standard-offer contra</w:t>
      </w:r>
      <w:r>
        <w:rPr>
          <w:rFonts w:ascii="Times New Roman" w:hAnsi="Times New Roman" w:cs="Times New Roman"/>
        </w:rPr>
        <w:t>ct and deliver same to VEPP</w:t>
      </w:r>
      <w:r w:rsidR="0086338E" w:rsidRPr="0086338E">
        <w:rPr>
          <w:rFonts w:ascii="Times New Roman" w:hAnsi="Times New Roman" w:cs="Times New Roman"/>
        </w:rPr>
        <w:t xml:space="preserve"> within </w:t>
      </w:r>
      <w:r w:rsidR="00CE7225">
        <w:rPr>
          <w:rFonts w:ascii="Times New Roman" w:hAnsi="Times New Roman" w:cs="Times New Roman"/>
        </w:rPr>
        <w:t>30 business</w:t>
      </w:r>
      <w:r w:rsidR="0086338E" w:rsidRPr="0086338E">
        <w:rPr>
          <w:rFonts w:ascii="Times New Roman" w:hAnsi="Times New Roman" w:cs="Times New Roman"/>
        </w:rPr>
        <w:t xml:space="preserve"> days of offer of c</w:t>
      </w:r>
      <w:r w:rsidR="009374A8">
        <w:rPr>
          <w:rFonts w:ascii="Times New Roman" w:hAnsi="Times New Roman" w:cs="Times New Roman"/>
        </w:rPr>
        <w:t xml:space="preserve">ontract.  If the proponent fails to provide the </w:t>
      </w:r>
      <w:r w:rsidR="00E725C9">
        <w:rPr>
          <w:rFonts w:ascii="Times New Roman" w:hAnsi="Times New Roman" w:cs="Times New Roman"/>
        </w:rPr>
        <w:t>refundable contract deposit</w:t>
      </w:r>
      <w:r w:rsidR="0086338E" w:rsidRPr="0086338E">
        <w:rPr>
          <w:rFonts w:ascii="Times New Roman" w:hAnsi="Times New Roman" w:cs="Times New Roman"/>
        </w:rPr>
        <w:t xml:space="preserve"> or administrative fee required under the standard-offer contract or execute the contract within the required </w:t>
      </w:r>
      <w:r w:rsidR="009374A8">
        <w:rPr>
          <w:rFonts w:ascii="Times New Roman" w:hAnsi="Times New Roman" w:cs="Times New Roman"/>
        </w:rPr>
        <w:t>time, the p</w:t>
      </w:r>
      <w:r w:rsidR="0086338E" w:rsidRPr="0086338E">
        <w:rPr>
          <w:rFonts w:ascii="Times New Roman" w:hAnsi="Times New Roman" w:cs="Times New Roman"/>
        </w:rPr>
        <w:t>roponent may be disqualified an</w:t>
      </w:r>
      <w:r>
        <w:rPr>
          <w:rFonts w:ascii="Times New Roman" w:hAnsi="Times New Roman" w:cs="Times New Roman"/>
        </w:rPr>
        <w:t>d VEPP</w:t>
      </w:r>
      <w:r w:rsidR="009374A8">
        <w:rPr>
          <w:rFonts w:ascii="Times New Roman" w:hAnsi="Times New Roman" w:cs="Times New Roman"/>
        </w:rPr>
        <w:t xml:space="preserve"> may select another p</w:t>
      </w:r>
      <w:r w:rsidR="0086338E" w:rsidRPr="0086338E">
        <w:rPr>
          <w:rFonts w:ascii="Times New Roman" w:hAnsi="Times New Roman" w:cs="Times New Roman"/>
        </w:rPr>
        <w:t>roponen</w:t>
      </w:r>
      <w:r w:rsidR="009374A8">
        <w:rPr>
          <w:rFonts w:ascii="Times New Roman" w:hAnsi="Times New Roman" w:cs="Times New Roman"/>
        </w:rPr>
        <w:t>t.  Under these conditions the proponent will forfeit its proposal s</w:t>
      </w:r>
      <w:r w:rsidR="0086338E" w:rsidRPr="0086338E">
        <w:rPr>
          <w:rFonts w:ascii="Times New Roman" w:hAnsi="Times New Roman" w:cs="Times New Roman"/>
        </w:rPr>
        <w:t xml:space="preserve">ecurity. </w:t>
      </w: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lastRenderedPageBreak/>
        <w:t>The standard-offer contract will not be su</w:t>
      </w:r>
      <w:r w:rsidR="009374A8">
        <w:rPr>
          <w:rFonts w:ascii="Times New Roman" w:hAnsi="Times New Roman" w:cs="Times New Roman"/>
        </w:rPr>
        <w:t>bject to negotiation after the p</w:t>
      </w:r>
      <w:r w:rsidRPr="0086338E">
        <w:rPr>
          <w:rFonts w:ascii="Times New Roman" w:hAnsi="Times New Roman" w:cs="Times New Roman"/>
        </w:rPr>
        <w:t xml:space="preserve">roponent has been notified that it is being offered the opportunity to execute the contract.  Pursuant </w:t>
      </w:r>
      <w:r w:rsidR="00C04CD0">
        <w:rPr>
          <w:rFonts w:ascii="Times New Roman" w:hAnsi="Times New Roman" w:cs="Times New Roman"/>
        </w:rPr>
        <w:t>to the September 30, 2009, Commission</w:t>
      </w:r>
      <w:r w:rsidRPr="0086338E">
        <w:rPr>
          <w:rFonts w:ascii="Times New Roman" w:hAnsi="Times New Roman" w:cs="Times New Roman"/>
        </w:rPr>
        <w:t xml:space="preserve"> Order in Docket 7533,</w:t>
      </w:r>
      <w:r w:rsidR="002D2EB3">
        <w:rPr>
          <w:rFonts w:ascii="Times New Roman" w:hAnsi="Times New Roman" w:cs="Times New Roman"/>
        </w:rPr>
        <w:t xml:space="preserve"> VEPP</w:t>
      </w:r>
      <w:r w:rsidR="008A3908">
        <w:rPr>
          <w:rFonts w:ascii="Times New Roman" w:hAnsi="Times New Roman" w:cs="Times New Roman"/>
        </w:rPr>
        <w:t xml:space="preserve">, acting as the Standard </w:t>
      </w:r>
      <w:r w:rsidR="002D2EB3">
        <w:rPr>
          <w:rFonts w:ascii="Times New Roman" w:hAnsi="Times New Roman" w:cs="Times New Roman"/>
        </w:rPr>
        <w:t>Offer</w:t>
      </w:r>
      <w:r w:rsidRPr="0086338E">
        <w:rPr>
          <w:rFonts w:ascii="Times New Roman" w:hAnsi="Times New Roman" w:cs="Times New Roman"/>
        </w:rPr>
        <w:t xml:space="preserve"> Facilitator, does not have the authority to alter the standard-o</w:t>
      </w:r>
      <w:r w:rsidR="009374A8">
        <w:rPr>
          <w:rFonts w:ascii="Times New Roman" w:hAnsi="Times New Roman" w:cs="Times New Roman"/>
        </w:rPr>
        <w:t>ffer contract.  Therefore, the p</w:t>
      </w:r>
      <w:r w:rsidRPr="0086338E">
        <w:rPr>
          <w:rFonts w:ascii="Times New Roman" w:hAnsi="Times New Roman" w:cs="Times New Roman"/>
        </w:rPr>
        <w:t>roponent will be required to execute the standard-offer contract in th</w:t>
      </w:r>
      <w:r w:rsidR="002D2EB3">
        <w:rPr>
          <w:rFonts w:ascii="Times New Roman" w:hAnsi="Times New Roman" w:cs="Times New Roman"/>
        </w:rPr>
        <w:t>e fi</w:t>
      </w:r>
      <w:r w:rsidR="00AA6D84">
        <w:rPr>
          <w:rFonts w:ascii="Times New Roman" w:hAnsi="Times New Roman" w:cs="Times New Roman"/>
        </w:rPr>
        <w:t xml:space="preserve">nal form posted on the Standard </w:t>
      </w:r>
      <w:r w:rsidR="002D2EB3">
        <w:rPr>
          <w:rFonts w:ascii="Times New Roman" w:hAnsi="Times New Roman" w:cs="Times New Roman"/>
        </w:rPr>
        <w:t xml:space="preserve">Offer </w:t>
      </w:r>
      <w:r w:rsidR="008775A9">
        <w:rPr>
          <w:rFonts w:ascii="Times New Roman" w:hAnsi="Times New Roman" w:cs="Times New Roman"/>
        </w:rPr>
        <w:t>Facilitator’s</w:t>
      </w:r>
      <w:r w:rsidRPr="0086338E">
        <w:rPr>
          <w:rFonts w:ascii="Times New Roman" w:hAnsi="Times New Roman" w:cs="Times New Roman"/>
        </w:rPr>
        <w:t xml:space="preserve"> website.</w:t>
      </w:r>
    </w:p>
    <w:p w:rsidR="00F7264D" w:rsidRPr="001819F7" w:rsidRDefault="00F7264D" w:rsidP="001819F7">
      <w:pPr>
        <w:pStyle w:val="Heading2"/>
      </w:pPr>
      <w:bookmarkStart w:id="21" w:name="_Toc509494719"/>
      <w:bookmarkStart w:id="22" w:name="_Toc349812087"/>
      <w:r w:rsidRPr="001819F7">
        <w:t>2.6 Notification to Bidders of Transmission Limitations</w:t>
      </w:r>
      <w:bookmarkEnd w:id="21"/>
      <w:r w:rsidRPr="001819F7">
        <w:tab/>
      </w:r>
    </w:p>
    <w:p w:rsidR="00F7264D" w:rsidRDefault="00F7264D" w:rsidP="00F7264D">
      <w:pPr>
        <w:rPr>
          <w:rFonts w:ascii="Times New Roman" w:hAnsi="Times New Roman" w:cs="Times New Roman"/>
        </w:rPr>
      </w:pPr>
      <w:r w:rsidRPr="00F7264D">
        <w:rPr>
          <w:rFonts w:ascii="Times New Roman" w:hAnsi="Times New Roman" w:cs="Times New Roman"/>
        </w:rPr>
        <w:t xml:space="preserve">According to information presented to the Commission, the electric transmission system in northern Vermont </w:t>
      </w:r>
      <w:r w:rsidR="00F77DAC">
        <w:rPr>
          <w:rFonts w:ascii="Times New Roman" w:hAnsi="Times New Roman" w:cs="Times New Roman"/>
        </w:rPr>
        <w:t>may not be able</w:t>
      </w:r>
      <w:r w:rsidRPr="00F7264D">
        <w:rPr>
          <w:rFonts w:ascii="Times New Roman" w:hAnsi="Times New Roman" w:cs="Times New Roman"/>
        </w:rPr>
        <w:t xml:space="preserve"> to integrate new generators without financial impact to existing generators.  In 2013, ISO-NE demarcated the Sheffield-Highgate Export Interface (“SHEI”) and established generator operation limits to ensure that the transmission system’s capacity to function reliably remains intact.</w:t>
      </w:r>
    </w:p>
    <w:p w:rsidR="00F7264D" w:rsidRPr="00F7264D" w:rsidRDefault="00F7264D" w:rsidP="00F7264D">
      <w:pPr>
        <w:rPr>
          <w:rFonts w:ascii="Times New Roman" w:hAnsi="Times New Roman" w:cs="Times New Roman"/>
        </w:rPr>
      </w:pPr>
      <w:r w:rsidRPr="00F7264D">
        <w:rPr>
          <w:rFonts w:ascii="Times New Roman" w:hAnsi="Times New Roman" w:cs="Times New Roman"/>
        </w:rPr>
        <w:t>During certain operational periods, these limits are reached and generation resources in areas of northern Vermont are required to curtail their output due to the lack of transmission system capacity to export power.  Through the Vermont System Planning Committee (“VSPC”), Vermont utilities and other stakeholders are currently discussing ways that the SHEI limitations can be addressed to reduce or eliminate curtailments of generation located within the interface.</w:t>
      </w:r>
    </w:p>
    <w:p w:rsidR="00F7264D" w:rsidRDefault="002315DA" w:rsidP="00F7264D">
      <w:pPr>
        <w:rPr>
          <w:rFonts w:ascii="Times New Roman" w:hAnsi="Times New Roman" w:cs="Times New Roman"/>
        </w:rPr>
      </w:pPr>
      <w:r>
        <w:rPr>
          <w:rFonts w:ascii="Times New Roman" w:hAnsi="Times New Roman" w:cs="Times New Roman"/>
        </w:rPr>
        <w:t>The VSPC maintains a webpage that provides information on the SHEI limitations.</w:t>
      </w:r>
      <w:r w:rsidRPr="00F7264D">
        <w:rPr>
          <w:rStyle w:val="FootnoteReference"/>
          <w:rFonts w:ascii="Times New Roman" w:hAnsi="Times New Roman"/>
        </w:rPr>
        <w:footnoteReference w:id="5"/>
      </w:r>
      <w:r>
        <w:rPr>
          <w:rFonts w:ascii="Times New Roman" w:hAnsi="Times New Roman" w:cs="Times New Roman"/>
        </w:rPr>
        <w:t xml:space="preserve">  The w</w:t>
      </w:r>
      <w:r w:rsidR="00103651">
        <w:rPr>
          <w:rFonts w:ascii="Times New Roman" w:hAnsi="Times New Roman" w:cs="Times New Roman"/>
        </w:rPr>
        <w:t>ebpage includes a description of</w:t>
      </w:r>
      <w:r>
        <w:rPr>
          <w:rFonts w:ascii="Times New Roman" w:hAnsi="Times New Roman" w:cs="Times New Roman"/>
        </w:rPr>
        <w:t xml:space="preserve"> the SHEI area, a description of</w:t>
      </w:r>
      <w:r w:rsidR="0001546D">
        <w:rPr>
          <w:rFonts w:ascii="Times New Roman" w:hAnsi="Times New Roman" w:cs="Times New Roman"/>
        </w:rPr>
        <w:t xml:space="preserve"> impacts to existing generation</w:t>
      </w:r>
      <w:r>
        <w:rPr>
          <w:rFonts w:ascii="Times New Roman" w:hAnsi="Times New Roman" w:cs="Times New Roman"/>
        </w:rPr>
        <w:t>, and a discussion of possible solutions.</w:t>
      </w:r>
    </w:p>
    <w:p w:rsidR="00821D1A" w:rsidRDefault="00471D69" w:rsidP="00F7264D">
      <w:pPr>
        <w:rPr>
          <w:rFonts w:ascii="Times New Roman" w:hAnsi="Times New Roman" w:cs="Times New Roman"/>
        </w:rPr>
      </w:pPr>
      <w:r>
        <w:rPr>
          <w:rFonts w:ascii="Times New Roman" w:hAnsi="Times New Roman" w:cs="Times New Roman"/>
        </w:rPr>
        <w:t>T</w:t>
      </w:r>
      <w:r w:rsidRPr="00471D69">
        <w:rPr>
          <w:rFonts w:ascii="Times New Roman" w:hAnsi="Times New Roman" w:cs="Times New Roman"/>
        </w:rPr>
        <w:t xml:space="preserve">he 2018 RFP </w:t>
      </w:r>
      <w:r>
        <w:rPr>
          <w:rFonts w:ascii="Times New Roman" w:hAnsi="Times New Roman" w:cs="Times New Roman"/>
        </w:rPr>
        <w:t xml:space="preserve">does </w:t>
      </w:r>
      <w:r w:rsidRPr="00471D69">
        <w:rPr>
          <w:rFonts w:ascii="Times New Roman" w:hAnsi="Times New Roman" w:cs="Times New Roman"/>
        </w:rPr>
        <w:t xml:space="preserve">not include any restrictions on bids from projects </w:t>
      </w:r>
      <w:r w:rsidR="00103651">
        <w:rPr>
          <w:rFonts w:ascii="Times New Roman" w:hAnsi="Times New Roman" w:cs="Times New Roman"/>
        </w:rPr>
        <w:t xml:space="preserve">proposed </w:t>
      </w:r>
      <w:r w:rsidRPr="00471D69">
        <w:rPr>
          <w:rFonts w:ascii="Times New Roman" w:hAnsi="Times New Roman" w:cs="Times New Roman"/>
        </w:rPr>
        <w:t>in the SHEI area.</w:t>
      </w:r>
      <w:r>
        <w:rPr>
          <w:rFonts w:ascii="Times New Roman" w:hAnsi="Times New Roman" w:cs="Times New Roman"/>
        </w:rPr>
        <w:t xml:space="preserve">  However, this notification reminds p</w:t>
      </w:r>
      <w:r w:rsidR="002315DA">
        <w:rPr>
          <w:rFonts w:ascii="Times New Roman" w:hAnsi="Times New Roman" w:cs="Times New Roman"/>
        </w:rPr>
        <w:t xml:space="preserve">roponents </w:t>
      </w:r>
      <w:r>
        <w:rPr>
          <w:rFonts w:ascii="Times New Roman" w:hAnsi="Times New Roman" w:cs="Times New Roman"/>
        </w:rPr>
        <w:t xml:space="preserve">that any projects </w:t>
      </w:r>
      <w:r w:rsidR="00F7264D" w:rsidRPr="00F7264D">
        <w:rPr>
          <w:rFonts w:ascii="Times New Roman" w:hAnsi="Times New Roman" w:cs="Times New Roman"/>
        </w:rPr>
        <w:t xml:space="preserve">in the SHEI area </w:t>
      </w:r>
      <w:r>
        <w:rPr>
          <w:rFonts w:ascii="Times New Roman" w:hAnsi="Times New Roman" w:cs="Times New Roman"/>
        </w:rPr>
        <w:t>awarded a standard-offer contract in this RFP will be required</w:t>
      </w:r>
      <w:r w:rsidR="00F7264D" w:rsidRPr="00F7264D">
        <w:rPr>
          <w:rFonts w:ascii="Times New Roman" w:hAnsi="Times New Roman" w:cs="Times New Roman"/>
        </w:rPr>
        <w:t xml:space="preserve"> to address the</w:t>
      </w:r>
      <w:r>
        <w:rPr>
          <w:rFonts w:ascii="Times New Roman" w:hAnsi="Times New Roman" w:cs="Times New Roman"/>
        </w:rPr>
        <w:t>se</w:t>
      </w:r>
      <w:r w:rsidR="00F7264D" w:rsidRPr="00F7264D">
        <w:rPr>
          <w:rFonts w:ascii="Times New Roman" w:hAnsi="Times New Roman" w:cs="Times New Roman"/>
        </w:rPr>
        <w:t xml:space="preserve"> economic and transmission system concerns during the certificate of public good process. </w:t>
      </w:r>
    </w:p>
    <w:p w:rsidR="00821D1A" w:rsidRDefault="00821D1A" w:rsidP="00821D1A">
      <w:pPr>
        <w:pStyle w:val="Heading2"/>
        <w:rPr>
          <w:rFonts w:ascii="Times New Roman" w:hAnsi="Times New Roman" w:cs="Times New Roman"/>
        </w:rPr>
      </w:pPr>
      <w:bookmarkStart w:id="23" w:name="_Toc509494720"/>
      <w:r>
        <w:t>2.7</w:t>
      </w:r>
      <w:r w:rsidRPr="001819F7">
        <w:t xml:space="preserve"> Notification to Bid</w:t>
      </w:r>
      <w:r>
        <w:t>ders of Contract Requirements</w:t>
      </w:r>
      <w:bookmarkEnd w:id="23"/>
      <w:r w:rsidRPr="00F7264D">
        <w:rPr>
          <w:rFonts w:ascii="Times New Roman" w:hAnsi="Times New Roman" w:cs="Times New Roman"/>
        </w:rPr>
        <w:t xml:space="preserve"> </w:t>
      </w:r>
    </w:p>
    <w:p w:rsidR="00AA6D84" w:rsidRPr="00E23725" w:rsidRDefault="00821D1A" w:rsidP="009B27CB">
      <w:pPr>
        <w:pStyle w:val="FootnoteText"/>
        <w:spacing w:line="276" w:lineRule="auto"/>
      </w:pPr>
      <w:r w:rsidRPr="009B27CB">
        <w:rPr>
          <w:sz w:val="22"/>
          <w:szCs w:val="22"/>
        </w:rPr>
        <w:t xml:space="preserve">Proponents who are awarded a standard-offer contract in this RFP will be required to file with the Commission a complete petition for a certificate of </w:t>
      </w:r>
      <w:r w:rsidR="00E23725" w:rsidRPr="009B27CB">
        <w:rPr>
          <w:sz w:val="22"/>
          <w:szCs w:val="22"/>
        </w:rPr>
        <w:t>public good within one year of the effective date of the standard-offer contract.  Additional information on the certificate of public good process is available</w:t>
      </w:r>
      <w:r w:rsidR="009B27CB">
        <w:rPr>
          <w:sz w:val="22"/>
          <w:szCs w:val="22"/>
        </w:rPr>
        <w:t xml:space="preserve"> </w:t>
      </w:r>
      <w:r w:rsidR="00E23725" w:rsidRPr="009B27CB">
        <w:rPr>
          <w:sz w:val="22"/>
          <w:szCs w:val="22"/>
        </w:rPr>
        <w:t xml:space="preserve">at: </w:t>
      </w:r>
      <w:hyperlink r:id="rId11" w:history="1">
        <w:r w:rsidR="009B27CB" w:rsidRPr="009B27CB">
          <w:rPr>
            <w:rStyle w:val="Hyperlink"/>
            <w:rFonts w:cs="Calibri"/>
            <w:sz w:val="22"/>
            <w:szCs w:val="22"/>
          </w:rPr>
          <w:t>http://www.vermontstandardoffer.com/sop-contract-requirements/http://www.vermontstandardoffer.com/sop-contract-requirements/</w:t>
        </w:r>
      </w:hyperlink>
      <w:r w:rsidR="009B27CB">
        <w:t>.</w:t>
      </w:r>
      <w:r w:rsidR="00AA6D84" w:rsidRPr="00E23725">
        <w:br w:type="page"/>
      </w:r>
    </w:p>
    <w:p w:rsidR="0086338E" w:rsidRPr="00060019" w:rsidRDefault="00060019" w:rsidP="00114E0F">
      <w:pPr>
        <w:pStyle w:val="Heading2"/>
        <w:spacing w:before="240" w:after="120" w:line="240" w:lineRule="auto"/>
        <w:rPr>
          <w:rFonts w:ascii="Times New Roman" w:hAnsi="Times New Roman" w:cs="Times New Roman"/>
          <w:sz w:val="28"/>
          <w:szCs w:val="28"/>
        </w:rPr>
      </w:pPr>
      <w:bookmarkStart w:id="24" w:name="_Toc509494721"/>
      <w:r w:rsidRPr="00060019">
        <w:rPr>
          <w:rFonts w:ascii="Times New Roman" w:hAnsi="Times New Roman" w:cs="Times New Roman"/>
          <w:sz w:val="28"/>
          <w:szCs w:val="28"/>
        </w:rPr>
        <w:lastRenderedPageBreak/>
        <w:t xml:space="preserve">3. </w:t>
      </w:r>
      <w:r w:rsidR="0086338E" w:rsidRPr="00060019">
        <w:rPr>
          <w:rFonts w:ascii="Times New Roman" w:hAnsi="Times New Roman" w:cs="Times New Roman"/>
          <w:sz w:val="28"/>
          <w:szCs w:val="28"/>
        </w:rPr>
        <w:t>Proposal Evaluation</w:t>
      </w:r>
      <w:bookmarkEnd w:id="22"/>
      <w:bookmarkEnd w:id="24"/>
      <w:r w:rsidR="0086338E" w:rsidRPr="00060019">
        <w:rPr>
          <w:rFonts w:ascii="Times New Roman" w:hAnsi="Times New Roman" w:cs="Times New Roman"/>
          <w:sz w:val="28"/>
          <w:szCs w:val="28"/>
        </w:rPr>
        <w:tab/>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b/>
          <w:bCs/>
        </w:rPr>
      </w:pPr>
      <w:r w:rsidRPr="0086338E">
        <w:rPr>
          <w:rFonts w:ascii="Times New Roman" w:hAnsi="Times New Roman" w:cs="Times New Roman"/>
        </w:rPr>
        <w:t>This sect</w:t>
      </w:r>
      <w:r w:rsidR="009374A8">
        <w:rPr>
          <w:rFonts w:ascii="Times New Roman" w:hAnsi="Times New Roman" w:cs="Times New Roman"/>
        </w:rPr>
        <w:t>ion reviews:  (1) the required proposal organization; (2) the mandatory requirements that all p</w:t>
      </w:r>
      <w:r w:rsidRPr="0086338E">
        <w:rPr>
          <w:rFonts w:ascii="Times New Roman" w:hAnsi="Times New Roman" w:cs="Times New Roman"/>
        </w:rPr>
        <w:t xml:space="preserve">roposals are required to satisfy; (3) the </w:t>
      </w:r>
      <w:r w:rsidR="009374A8">
        <w:rPr>
          <w:rFonts w:ascii="Times New Roman" w:hAnsi="Times New Roman" w:cs="Times New Roman"/>
        </w:rPr>
        <w:t>assessment criteria upon which p</w:t>
      </w:r>
      <w:r w:rsidRPr="0086338E">
        <w:rPr>
          <w:rFonts w:ascii="Times New Roman" w:hAnsi="Times New Roman" w:cs="Times New Roman"/>
        </w:rPr>
        <w:t>roposals</w:t>
      </w:r>
      <w:r w:rsidR="009374A8">
        <w:rPr>
          <w:rFonts w:ascii="Times New Roman" w:hAnsi="Times New Roman" w:cs="Times New Roman"/>
        </w:rPr>
        <w:t xml:space="preserve"> are to be ranked; and (4) the p</w:t>
      </w:r>
      <w:r w:rsidRPr="0086338E">
        <w:rPr>
          <w:rFonts w:ascii="Times New Roman" w:hAnsi="Times New Roman" w:cs="Times New Roman"/>
        </w:rPr>
        <w:t>r</w:t>
      </w:r>
      <w:r w:rsidR="009374A8">
        <w:rPr>
          <w:rFonts w:ascii="Times New Roman" w:hAnsi="Times New Roman" w:cs="Times New Roman"/>
        </w:rPr>
        <w:t>oposal selection process.  All p</w:t>
      </w:r>
      <w:r w:rsidRPr="0086338E">
        <w:rPr>
          <w:rFonts w:ascii="Times New Roman" w:hAnsi="Times New Roman" w:cs="Times New Roman"/>
        </w:rPr>
        <w:t>ropos</w:t>
      </w:r>
      <w:r w:rsidR="009374A8">
        <w:rPr>
          <w:rFonts w:ascii="Times New Roman" w:hAnsi="Times New Roman" w:cs="Times New Roman"/>
        </w:rPr>
        <w:t>als must satisfy the mandatory r</w:t>
      </w:r>
      <w:r w:rsidRPr="0086338E">
        <w:rPr>
          <w:rFonts w:ascii="Times New Roman" w:hAnsi="Times New Roman" w:cs="Times New Roman"/>
        </w:rPr>
        <w:t xml:space="preserve">equirements to proceed to the next step in the evaluation process. </w:t>
      </w:r>
    </w:p>
    <w:p w:rsidR="0086338E" w:rsidRPr="0086338E" w:rsidRDefault="00060019" w:rsidP="00114E0F">
      <w:pPr>
        <w:pStyle w:val="Heading2"/>
        <w:spacing w:before="240" w:after="120" w:line="240" w:lineRule="auto"/>
        <w:rPr>
          <w:rFonts w:ascii="Times New Roman" w:hAnsi="Times New Roman" w:cs="Times New Roman"/>
        </w:rPr>
      </w:pPr>
      <w:bookmarkStart w:id="25" w:name="_Toc349812088"/>
      <w:bookmarkStart w:id="26" w:name="_Toc509494722"/>
      <w:r>
        <w:rPr>
          <w:rFonts w:ascii="Times New Roman" w:hAnsi="Times New Roman" w:cs="Times New Roman"/>
        </w:rPr>
        <w:t>3.</w:t>
      </w:r>
      <w:r w:rsidR="0086338E" w:rsidRPr="0086338E">
        <w:rPr>
          <w:rFonts w:ascii="Times New Roman" w:hAnsi="Times New Roman" w:cs="Times New Roman"/>
        </w:rPr>
        <w:t>1 Proposal Organization</w:t>
      </w:r>
      <w:bookmarkEnd w:id="25"/>
      <w:bookmarkEnd w:id="26"/>
    </w:p>
    <w:p w:rsidR="0086338E" w:rsidRPr="0086338E" w:rsidRDefault="00114E0F"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To enable VEPP</w:t>
      </w:r>
      <w:r w:rsidR="0086338E" w:rsidRPr="0086338E">
        <w:rPr>
          <w:rFonts w:ascii="Times New Roman" w:hAnsi="Times New Roman" w:cs="Times New Roman"/>
        </w:rPr>
        <w:t xml:space="preserve"> t</w:t>
      </w:r>
      <w:r w:rsidR="009374A8">
        <w:rPr>
          <w:rFonts w:ascii="Times New Roman" w:hAnsi="Times New Roman" w:cs="Times New Roman"/>
        </w:rPr>
        <w:t>o efficiently review and score proposals, p</w:t>
      </w:r>
      <w:r w:rsidR="0086338E" w:rsidRPr="0086338E">
        <w:rPr>
          <w:rFonts w:ascii="Times New Roman" w:hAnsi="Times New Roman" w:cs="Times New Roman"/>
        </w:rPr>
        <w:t>roponents are required to present the following information in the</w:t>
      </w:r>
      <w:r w:rsidR="009374A8">
        <w:rPr>
          <w:rFonts w:ascii="Times New Roman" w:hAnsi="Times New Roman" w:cs="Times New Roman"/>
        </w:rPr>
        <w:t>ir p</w:t>
      </w:r>
      <w:r w:rsidR="0086338E" w:rsidRPr="0086338E">
        <w:rPr>
          <w:rFonts w:ascii="Times New Roman" w:hAnsi="Times New Roman" w:cs="Times New Roman"/>
        </w:rPr>
        <w:t xml:space="preserve">roposals. </w:t>
      </w: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p>
    <w:p w:rsidR="0086338E" w:rsidRPr="0086338E" w:rsidRDefault="0086338E" w:rsidP="00072F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sidRPr="0086338E">
        <w:rPr>
          <w:rFonts w:ascii="Times New Roman" w:hAnsi="Times New Roman" w:cs="Times New Roman"/>
        </w:rPr>
        <w:t>Proposals shall indicate the legal nam</w:t>
      </w:r>
      <w:r w:rsidR="009374A8">
        <w:rPr>
          <w:rFonts w:ascii="Times New Roman" w:hAnsi="Times New Roman" w:cs="Times New Roman"/>
        </w:rPr>
        <w:t>e of the entity submitting the p</w:t>
      </w:r>
      <w:r w:rsidRPr="0086338E">
        <w:rPr>
          <w:rFonts w:ascii="Times New Roman" w:hAnsi="Times New Roman" w:cs="Times New Roman"/>
        </w:rPr>
        <w:t>roposal that will be executin</w:t>
      </w:r>
      <w:r w:rsidR="009374A8">
        <w:rPr>
          <w:rFonts w:ascii="Times New Roman" w:hAnsi="Times New Roman" w:cs="Times New Roman"/>
        </w:rPr>
        <w:t>g the standard-offer contract, p</w:t>
      </w:r>
      <w:r w:rsidRPr="0086338E">
        <w:rPr>
          <w:rFonts w:ascii="Times New Roman" w:hAnsi="Times New Roman" w:cs="Times New Roman"/>
        </w:rPr>
        <w:t>roject name, contact person including e-mail address, phone number</w:t>
      </w:r>
      <w:r w:rsidR="0046529D">
        <w:rPr>
          <w:rFonts w:ascii="Times New Roman" w:hAnsi="Times New Roman" w:cs="Times New Roman"/>
        </w:rPr>
        <w:t>,</w:t>
      </w:r>
      <w:r w:rsidRPr="0086338E">
        <w:rPr>
          <w:rFonts w:ascii="Times New Roman" w:hAnsi="Times New Roman" w:cs="Times New Roman"/>
        </w:rPr>
        <w:t xml:space="preserve"> and ma</w:t>
      </w:r>
      <w:r w:rsidR="009374A8">
        <w:rPr>
          <w:rFonts w:ascii="Times New Roman" w:hAnsi="Times New Roman" w:cs="Times New Roman"/>
        </w:rPr>
        <w:t>iling address, location of the p</w:t>
      </w:r>
      <w:r w:rsidRPr="0086338E">
        <w:rPr>
          <w:rFonts w:ascii="Times New Roman" w:hAnsi="Times New Roman" w:cs="Times New Roman"/>
        </w:rPr>
        <w:t>roje</w:t>
      </w:r>
      <w:r w:rsidR="009374A8">
        <w:rPr>
          <w:rFonts w:ascii="Times New Roman" w:hAnsi="Times New Roman" w:cs="Times New Roman"/>
        </w:rPr>
        <w:t xml:space="preserve">ct, the project’s technology, the </w:t>
      </w:r>
      <w:r w:rsidR="00CA2863">
        <w:rPr>
          <w:rFonts w:ascii="Times New Roman" w:hAnsi="Times New Roman" w:cs="Times New Roman"/>
        </w:rPr>
        <w:t>plant</w:t>
      </w:r>
      <w:r w:rsidR="009374A8">
        <w:rPr>
          <w:rFonts w:ascii="Times New Roman" w:hAnsi="Times New Roman" w:cs="Times New Roman"/>
        </w:rPr>
        <w:t xml:space="preserve"> capacity (AC)</w:t>
      </w:r>
      <w:r w:rsidR="00CA2863">
        <w:rPr>
          <w:rFonts w:ascii="Times New Roman" w:hAnsi="Times New Roman" w:cs="Times New Roman"/>
        </w:rPr>
        <w:t xml:space="preserve"> as defined in 30 V.S.A. § 8002(</w:t>
      </w:r>
      <w:r w:rsidR="00CE7225">
        <w:rPr>
          <w:rFonts w:ascii="Times New Roman" w:hAnsi="Times New Roman" w:cs="Times New Roman"/>
        </w:rPr>
        <w:t>19</w:t>
      </w:r>
      <w:r w:rsidR="00CA2863">
        <w:rPr>
          <w:rFonts w:ascii="Times New Roman" w:hAnsi="Times New Roman" w:cs="Times New Roman"/>
        </w:rPr>
        <w:t>)</w:t>
      </w:r>
      <w:r w:rsidR="009374A8">
        <w:rPr>
          <w:rFonts w:ascii="Times New Roman" w:hAnsi="Times New Roman" w:cs="Times New Roman"/>
        </w:rPr>
        <w:t>, p</w:t>
      </w:r>
      <w:r w:rsidRPr="0086338E">
        <w:rPr>
          <w:rFonts w:ascii="Times New Roman" w:hAnsi="Times New Roman" w:cs="Times New Roman"/>
        </w:rPr>
        <w:t>roject schedule, and interconnecting utili</w:t>
      </w:r>
      <w:r w:rsidR="009374A8">
        <w:rPr>
          <w:rFonts w:ascii="Times New Roman" w:hAnsi="Times New Roman" w:cs="Times New Roman"/>
        </w:rPr>
        <w:t xml:space="preserve">ty.  </w:t>
      </w:r>
    </w:p>
    <w:p w:rsidR="0086338E" w:rsidRPr="0086338E" w:rsidRDefault="00060019" w:rsidP="00114E0F">
      <w:pPr>
        <w:pStyle w:val="Heading2"/>
        <w:spacing w:before="240" w:after="120" w:line="240" w:lineRule="auto"/>
        <w:rPr>
          <w:rFonts w:ascii="Times New Roman" w:hAnsi="Times New Roman" w:cs="Times New Roman"/>
        </w:rPr>
      </w:pPr>
      <w:bookmarkStart w:id="27" w:name="_Toc349812089"/>
      <w:bookmarkStart w:id="28" w:name="_Toc509494723"/>
      <w:r>
        <w:rPr>
          <w:rFonts w:ascii="Times New Roman" w:hAnsi="Times New Roman" w:cs="Times New Roman"/>
        </w:rPr>
        <w:t>3.</w:t>
      </w:r>
      <w:r w:rsidR="0086338E" w:rsidRPr="0086338E">
        <w:rPr>
          <w:rFonts w:ascii="Times New Roman" w:hAnsi="Times New Roman" w:cs="Times New Roman"/>
        </w:rPr>
        <w:t>2 Mandatory Requirements</w:t>
      </w:r>
      <w:bookmarkEnd w:id="27"/>
      <w:bookmarkEnd w:id="28"/>
    </w:p>
    <w:p w:rsidR="0086338E" w:rsidRPr="0086338E" w:rsidRDefault="009374A8"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Proposals must satisfy the mandatory r</w:t>
      </w:r>
      <w:r w:rsidR="0086338E" w:rsidRPr="0086338E">
        <w:rPr>
          <w:rFonts w:ascii="Times New Roman" w:hAnsi="Times New Roman" w:cs="Times New Roman"/>
        </w:rPr>
        <w:t>equirements outlined in this section to be considered further in the evaluation process.  Propos</w:t>
      </w:r>
      <w:r>
        <w:rPr>
          <w:rFonts w:ascii="Times New Roman" w:hAnsi="Times New Roman" w:cs="Times New Roman"/>
        </w:rPr>
        <w:t>als that fail to satisfy these mandatory r</w:t>
      </w:r>
      <w:r w:rsidR="0086338E" w:rsidRPr="0086338E">
        <w:rPr>
          <w:rFonts w:ascii="Times New Roman" w:hAnsi="Times New Roman" w:cs="Times New Roman"/>
        </w:rPr>
        <w:t>equirements shall be rejected. Proponents must demonstra</w:t>
      </w:r>
      <w:r>
        <w:rPr>
          <w:rFonts w:ascii="Times New Roman" w:hAnsi="Times New Roman" w:cs="Times New Roman"/>
        </w:rPr>
        <w:t>te how they and their proposed project satisfy each of these mandatory r</w:t>
      </w:r>
      <w:r w:rsidR="0086338E" w:rsidRPr="0086338E">
        <w:rPr>
          <w:rFonts w:ascii="Times New Roman" w:hAnsi="Times New Roman" w:cs="Times New Roman"/>
        </w:rPr>
        <w:t>equirements.</w:t>
      </w:r>
    </w:p>
    <w:p w:rsidR="0086338E" w:rsidRPr="0086338E" w:rsidRDefault="006D2505" w:rsidP="00114E0F">
      <w:pPr>
        <w:pStyle w:val="Heading2"/>
        <w:spacing w:before="240" w:after="120" w:line="240" w:lineRule="auto"/>
        <w:rPr>
          <w:rFonts w:ascii="Times New Roman" w:hAnsi="Times New Roman" w:cs="Times New Roman"/>
        </w:rPr>
      </w:pPr>
      <w:bookmarkStart w:id="29" w:name="_Toc349812090"/>
      <w:bookmarkStart w:id="30" w:name="_Toc509494724"/>
      <w:r>
        <w:rPr>
          <w:rFonts w:ascii="Times New Roman" w:hAnsi="Times New Roman" w:cs="Times New Roman"/>
        </w:rPr>
        <w:t xml:space="preserve">3.2.1 </w:t>
      </w:r>
      <w:r w:rsidR="0086338E" w:rsidRPr="0086338E">
        <w:rPr>
          <w:rFonts w:ascii="Times New Roman" w:hAnsi="Times New Roman" w:cs="Times New Roman"/>
        </w:rPr>
        <w:t>Proposed Project</w:t>
      </w:r>
      <w:bookmarkEnd w:id="29"/>
      <w:bookmarkEnd w:id="30"/>
    </w:p>
    <w:p w:rsidR="0086338E" w:rsidRPr="0086338E" w:rsidRDefault="008A3908"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sectPr w:rsidR="0086338E" w:rsidRPr="0086338E" w:rsidSect="0040120E">
          <w:headerReference w:type="default" r:id="rId12"/>
          <w:footerReference w:type="default" r:id="rId13"/>
          <w:type w:val="continuous"/>
          <w:pgSz w:w="12240" w:h="15840" w:code="1"/>
          <w:pgMar w:top="1440" w:right="1440" w:bottom="1440" w:left="1440" w:header="720" w:footer="720" w:gutter="0"/>
          <w:pgNumType w:start="1"/>
          <w:cols w:space="720"/>
          <w:noEndnote/>
        </w:sectPr>
      </w:pPr>
      <w:r>
        <w:rPr>
          <w:rFonts w:ascii="Times New Roman" w:hAnsi="Times New Roman" w:cs="Times New Roman"/>
        </w:rPr>
        <w:t>The project must:</w:t>
      </w:r>
    </w:p>
    <w:p w:rsidR="008A3908" w:rsidRDefault="0086338E" w:rsidP="00F330A1">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A3908">
        <w:rPr>
          <w:rFonts w:ascii="Times New Roman" w:hAnsi="Times New Roman" w:cs="Times New Roman"/>
        </w:rPr>
        <w:t>Be located in Vermont.</w:t>
      </w:r>
    </w:p>
    <w:p w:rsidR="00F330A1" w:rsidRPr="00F330A1" w:rsidRDefault="00F330A1" w:rsidP="00F330A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p>
    <w:p w:rsidR="00914AE5" w:rsidRDefault="00133221" w:rsidP="008A390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H</w:t>
      </w:r>
      <w:r w:rsidR="007831F9">
        <w:rPr>
          <w:rFonts w:ascii="Times New Roman" w:hAnsi="Times New Roman" w:cs="Times New Roman"/>
        </w:rPr>
        <w:t xml:space="preserve">ave </w:t>
      </w:r>
      <w:r w:rsidR="0086338E" w:rsidRPr="008A3908">
        <w:rPr>
          <w:rFonts w:ascii="Times New Roman" w:hAnsi="Times New Roman" w:cs="Times New Roman"/>
        </w:rPr>
        <w:t xml:space="preserve">an installed net </w:t>
      </w:r>
      <w:r w:rsidR="007831F9">
        <w:rPr>
          <w:rFonts w:ascii="Times New Roman" w:hAnsi="Times New Roman" w:cs="Times New Roman"/>
        </w:rPr>
        <w:t xml:space="preserve">AC </w:t>
      </w:r>
      <w:r w:rsidR="009374A8" w:rsidRPr="008A3908">
        <w:rPr>
          <w:rFonts w:ascii="Times New Roman" w:hAnsi="Times New Roman" w:cs="Times New Roman"/>
        </w:rPr>
        <w:t>capacity</w:t>
      </w:r>
      <w:r w:rsidR="007831F9">
        <w:rPr>
          <w:rFonts w:ascii="Times New Roman" w:hAnsi="Times New Roman" w:cs="Times New Roman"/>
        </w:rPr>
        <w:t xml:space="preserve">, </w:t>
      </w:r>
      <w:r w:rsidR="00CC713A">
        <w:rPr>
          <w:rFonts w:ascii="Times New Roman" w:hAnsi="Times New Roman" w:cs="Times New Roman"/>
        </w:rPr>
        <w:t xml:space="preserve">defined in </w:t>
      </w:r>
      <w:r w:rsidR="007831F9" w:rsidRPr="008A3908">
        <w:rPr>
          <w:rFonts w:ascii="Times New Roman" w:hAnsi="Times New Roman" w:cs="Times New Roman"/>
        </w:rPr>
        <w:t>30 V.S.A. § 8002(19)</w:t>
      </w:r>
      <w:r w:rsidR="007831F9">
        <w:rPr>
          <w:rFonts w:ascii="Times New Roman" w:hAnsi="Times New Roman" w:cs="Times New Roman"/>
        </w:rPr>
        <w:t>,</w:t>
      </w:r>
      <w:r w:rsidR="009374A8" w:rsidRPr="008A3908">
        <w:rPr>
          <w:rFonts w:ascii="Times New Roman" w:hAnsi="Times New Roman" w:cs="Times New Roman"/>
        </w:rPr>
        <w:t xml:space="preserve"> measured at the p</w:t>
      </w:r>
      <w:r w:rsidR="0086338E" w:rsidRPr="008A3908">
        <w:rPr>
          <w:rFonts w:ascii="Times New Roman" w:hAnsi="Times New Roman" w:cs="Times New Roman"/>
        </w:rPr>
        <w:t>roject’s location</w:t>
      </w:r>
      <w:r w:rsidR="007831F9">
        <w:rPr>
          <w:rFonts w:ascii="Times New Roman" w:hAnsi="Times New Roman" w:cs="Times New Roman"/>
        </w:rPr>
        <w:t xml:space="preserve">, </w:t>
      </w:r>
      <w:r w:rsidR="00914AE5">
        <w:rPr>
          <w:rFonts w:ascii="Times New Roman" w:hAnsi="Times New Roman" w:cs="Times New Roman"/>
        </w:rPr>
        <w:t>no g</w:t>
      </w:r>
      <w:r w:rsidR="00AA6D84">
        <w:rPr>
          <w:rFonts w:ascii="Times New Roman" w:hAnsi="Times New Roman" w:cs="Times New Roman"/>
        </w:rPr>
        <w:t>reater than</w:t>
      </w:r>
      <w:r w:rsidR="00914AE5">
        <w:rPr>
          <w:rFonts w:ascii="Times New Roman" w:hAnsi="Times New Roman" w:cs="Times New Roman"/>
        </w:rPr>
        <w:t>:</w:t>
      </w:r>
    </w:p>
    <w:p w:rsidR="00831999" w:rsidRDefault="00831999" w:rsidP="00831999">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2.</w:t>
      </w:r>
      <w:r w:rsidR="00F47616">
        <w:rPr>
          <w:rFonts w:ascii="Times New Roman" w:hAnsi="Times New Roman" w:cs="Times New Roman"/>
        </w:rPr>
        <w:t xml:space="preserve">2 MW for projects </w:t>
      </w:r>
      <w:r>
        <w:rPr>
          <w:rFonts w:ascii="Times New Roman" w:hAnsi="Times New Roman" w:cs="Times New Roman"/>
        </w:rPr>
        <w:t>in the Price-Competitive Developer Block or the Technology Diversity Developer Block;</w:t>
      </w:r>
      <w:r w:rsidR="00852E6E">
        <w:rPr>
          <w:rFonts w:ascii="Times New Roman" w:hAnsi="Times New Roman" w:cs="Times New Roman"/>
        </w:rPr>
        <w:t xml:space="preserve"> and</w:t>
      </w:r>
    </w:p>
    <w:p w:rsidR="00831999" w:rsidRDefault="00852E6E" w:rsidP="00831999">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1.125</w:t>
      </w:r>
      <w:r w:rsidR="00F47616">
        <w:rPr>
          <w:rFonts w:ascii="Times New Roman" w:hAnsi="Times New Roman" w:cs="Times New Roman"/>
        </w:rPr>
        <w:t xml:space="preserve"> MW for projects</w:t>
      </w:r>
      <w:r w:rsidR="00831999">
        <w:rPr>
          <w:rFonts w:ascii="Times New Roman" w:hAnsi="Times New Roman" w:cs="Times New Roman"/>
        </w:rPr>
        <w:t xml:space="preserve"> </w:t>
      </w:r>
      <w:r>
        <w:rPr>
          <w:rFonts w:ascii="Times New Roman" w:hAnsi="Times New Roman" w:cs="Times New Roman"/>
        </w:rPr>
        <w:t>in the Provider</w:t>
      </w:r>
      <w:r w:rsidR="00F77DAC">
        <w:rPr>
          <w:rFonts w:ascii="Times New Roman" w:hAnsi="Times New Roman" w:cs="Times New Roman"/>
        </w:rPr>
        <w:t xml:space="preserve"> Block.</w:t>
      </w:r>
    </w:p>
    <w:p w:rsidR="008A3908" w:rsidRDefault="008A3908" w:rsidP="008A390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p>
    <w:p w:rsidR="008A3908" w:rsidRDefault="0086338E" w:rsidP="008A390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A3908">
        <w:rPr>
          <w:rFonts w:ascii="Times New Roman" w:hAnsi="Times New Roman" w:cs="Times New Roman"/>
        </w:rPr>
        <w:t>Not already be</w:t>
      </w:r>
      <w:r w:rsidR="00F330A1">
        <w:rPr>
          <w:rFonts w:ascii="Times New Roman" w:hAnsi="Times New Roman" w:cs="Times New Roman"/>
        </w:rPr>
        <w:t xml:space="preserve"> selling its output to VEPP</w:t>
      </w:r>
      <w:r w:rsidRPr="008A3908">
        <w:rPr>
          <w:rFonts w:ascii="Times New Roman" w:hAnsi="Times New Roman" w:cs="Times New Roman"/>
        </w:rPr>
        <w:t xml:space="preserve"> o</w:t>
      </w:r>
      <w:r w:rsidR="009374A8" w:rsidRPr="008A3908">
        <w:rPr>
          <w:rFonts w:ascii="Times New Roman" w:hAnsi="Times New Roman" w:cs="Times New Roman"/>
        </w:rPr>
        <w:t xml:space="preserve">r Vermont distribution </w:t>
      </w:r>
      <w:r w:rsidRPr="008A3908">
        <w:rPr>
          <w:rFonts w:ascii="Times New Roman" w:hAnsi="Times New Roman" w:cs="Times New Roman"/>
        </w:rPr>
        <w:t>utilities.  This provision is not desi</w:t>
      </w:r>
      <w:r w:rsidR="009374A8" w:rsidRPr="008A3908">
        <w:rPr>
          <w:rFonts w:ascii="Times New Roman" w:hAnsi="Times New Roman" w:cs="Times New Roman"/>
        </w:rPr>
        <w:t>gned to limit the ability of a p</w:t>
      </w:r>
      <w:r w:rsidRPr="008A3908">
        <w:rPr>
          <w:rFonts w:ascii="Times New Roman" w:hAnsi="Times New Roman" w:cs="Times New Roman"/>
        </w:rPr>
        <w:t xml:space="preserve">roponent to submit a proposal for an additional </w:t>
      </w:r>
      <w:r w:rsidR="009374A8" w:rsidRPr="008A3908">
        <w:rPr>
          <w:rFonts w:ascii="Times New Roman" w:hAnsi="Times New Roman" w:cs="Times New Roman"/>
        </w:rPr>
        <w:t>p</w:t>
      </w:r>
      <w:r w:rsidRPr="008A3908">
        <w:rPr>
          <w:rFonts w:ascii="Times New Roman" w:hAnsi="Times New Roman" w:cs="Times New Roman"/>
        </w:rPr>
        <w:t>roject o</w:t>
      </w:r>
      <w:r w:rsidR="009374A8" w:rsidRPr="008A3908">
        <w:rPr>
          <w:rFonts w:ascii="Times New Roman" w:hAnsi="Times New Roman" w:cs="Times New Roman"/>
        </w:rPr>
        <w:t xml:space="preserve">r to prevent a Vermont distribution </w:t>
      </w:r>
      <w:r w:rsidRPr="008A3908">
        <w:rPr>
          <w:rFonts w:ascii="Times New Roman" w:hAnsi="Times New Roman" w:cs="Times New Roman"/>
        </w:rPr>
        <w:t>utility from submitting a proposal for a new standard-offer contract as part o</w:t>
      </w:r>
      <w:r w:rsidR="009E000E">
        <w:rPr>
          <w:rFonts w:ascii="Times New Roman" w:hAnsi="Times New Roman" w:cs="Times New Roman"/>
        </w:rPr>
        <w:t>f the Provider B</w:t>
      </w:r>
      <w:r w:rsidRPr="008A3908">
        <w:rPr>
          <w:rFonts w:ascii="Times New Roman" w:hAnsi="Times New Roman" w:cs="Times New Roman"/>
        </w:rPr>
        <w:t xml:space="preserve">lock </w:t>
      </w:r>
      <w:r w:rsidR="008A3908">
        <w:rPr>
          <w:rFonts w:ascii="Times New Roman" w:hAnsi="Times New Roman" w:cs="Times New Roman"/>
        </w:rPr>
        <w:t xml:space="preserve">being </w:t>
      </w:r>
      <w:r w:rsidR="00852E6E">
        <w:rPr>
          <w:rFonts w:ascii="Times New Roman" w:hAnsi="Times New Roman" w:cs="Times New Roman"/>
        </w:rPr>
        <w:t>established by the Commission</w:t>
      </w:r>
      <w:r w:rsidR="008A3908">
        <w:rPr>
          <w:rFonts w:ascii="Times New Roman" w:hAnsi="Times New Roman" w:cs="Times New Roman"/>
        </w:rPr>
        <w:t>.</w:t>
      </w:r>
    </w:p>
    <w:p w:rsidR="008A3908" w:rsidRDefault="008A3908" w:rsidP="008A390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p>
    <w:p w:rsidR="004A002E" w:rsidRPr="000A1132" w:rsidRDefault="00A6108B" w:rsidP="000A113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A3908">
        <w:rPr>
          <w:rFonts w:ascii="Times New Roman" w:hAnsi="Times New Roman" w:cs="Times New Roman"/>
        </w:rPr>
        <w:t>Have a proposed price that</w:t>
      </w:r>
      <w:r w:rsidR="0086338E" w:rsidRPr="008A3908">
        <w:rPr>
          <w:rFonts w:ascii="Times New Roman" w:hAnsi="Times New Roman" w:cs="Times New Roman"/>
        </w:rPr>
        <w:t xml:space="preserve"> is not higher than the relevant technology-specific avoided costs presented in Section 3.3.3.</w:t>
      </w:r>
    </w:p>
    <w:p w:rsidR="0086338E" w:rsidRPr="0086338E" w:rsidRDefault="00A15335" w:rsidP="00F330A1">
      <w:pPr>
        <w:pStyle w:val="Heading2"/>
        <w:spacing w:before="240" w:after="120" w:line="240" w:lineRule="auto"/>
        <w:rPr>
          <w:rFonts w:ascii="Times New Roman" w:hAnsi="Times New Roman" w:cs="Times New Roman"/>
        </w:rPr>
      </w:pPr>
      <w:bookmarkStart w:id="31" w:name="_Toc509494725"/>
      <w:bookmarkStart w:id="32" w:name="_Toc349812091"/>
      <w:r>
        <w:rPr>
          <w:rFonts w:ascii="Times New Roman" w:hAnsi="Times New Roman" w:cs="Times New Roman"/>
        </w:rPr>
        <w:t>3.</w:t>
      </w:r>
      <w:r w:rsidR="0086338E" w:rsidRPr="0086338E">
        <w:rPr>
          <w:rFonts w:ascii="Times New Roman" w:hAnsi="Times New Roman" w:cs="Times New Roman"/>
        </w:rPr>
        <w:t>2.2 Site Control</w:t>
      </w:r>
      <w:bookmarkEnd w:id="31"/>
    </w:p>
    <w:p w:rsidR="0086338E" w:rsidRDefault="00E93AA3">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The p</w:t>
      </w:r>
      <w:r w:rsidR="0086338E" w:rsidRPr="0086338E">
        <w:rPr>
          <w:rFonts w:ascii="Times New Roman" w:hAnsi="Times New Roman" w:cs="Times New Roman"/>
        </w:rPr>
        <w:t>roponent must demonstra</w:t>
      </w:r>
      <w:r w:rsidR="00F77DAC">
        <w:rPr>
          <w:rFonts w:ascii="Times New Roman" w:hAnsi="Times New Roman" w:cs="Times New Roman"/>
        </w:rPr>
        <w:t>te project site control by</w:t>
      </w:r>
      <w:r>
        <w:rPr>
          <w:rFonts w:ascii="Times New Roman" w:hAnsi="Times New Roman" w:cs="Times New Roman"/>
        </w:rPr>
        <w:t xml:space="preserve"> the p</w:t>
      </w:r>
      <w:r w:rsidR="0086338E" w:rsidRPr="0086338E">
        <w:rPr>
          <w:rFonts w:ascii="Times New Roman" w:hAnsi="Times New Roman" w:cs="Times New Roman"/>
        </w:rPr>
        <w:t xml:space="preserve">roponent’s legal company name by providing evidence of one of the following:  (1) fee simple title to such real property; (2) valid written </w:t>
      </w:r>
      <w:r w:rsidR="0086338E" w:rsidRPr="0086338E">
        <w:rPr>
          <w:rFonts w:ascii="Times New Roman" w:hAnsi="Times New Roman" w:cs="Times New Roman"/>
        </w:rPr>
        <w:lastRenderedPageBreak/>
        <w:t>leasehold</w:t>
      </w:r>
      <w:r w:rsidR="00D41459">
        <w:rPr>
          <w:rFonts w:ascii="Times New Roman" w:hAnsi="Times New Roman" w:cs="Times New Roman"/>
        </w:rPr>
        <w:t xml:space="preserve"> or easement</w:t>
      </w:r>
      <w:r w:rsidR="0086338E" w:rsidRPr="0086338E">
        <w:rPr>
          <w:rFonts w:ascii="Times New Roman" w:hAnsi="Times New Roman" w:cs="Times New Roman"/>
        </w:rPr>
        <w:t xml:space="preserve"> interest for such real property; (3) a legally enforceable written option with </w:t>
      </w:r>
      <w:r w:rsidR="008D65D2">
        <w:rPr>
          <w:rFonts w:ascii="Times New Roman" w:hAnsi="Times New Roman" w:cs="Times New Roman"/>
        </w:rPr>
        <w:t>all terms stipulated including “option price” and “option term,”</w:t>
      </w:r>
      <w:r w:rsidR="0086338E" w:rsidRPr="0086338E">
        <w:rPr>
          <w:rFonts w:ascii="Times New Roman" w:hAnsi="Times New Roman" w:cs="Times New Roman"/>
        </w:rPr>
        <w:t xml:space="preserve"> unco</w:t>
      </w:r>
      <w:r>
        <w:rPr>
          <w:rFonts w:ascii="Times New Roman" w:hAnsi="Times New Roman" w:cs="Times New Roman"/>
        </w:rPr>
        <w:t>nditionally exercisable by the p</w:t>
      </w:r>
      <w:r w:rsidR="0086338E" w:rsidRPr="0086338E">
        <w:rPr>
          <w:rFonts w:ascii="Times New Roman" w:hAnsi="Times New Roman" w:cs="Times New Roman"/>
        </w:rPr>
        <w:t>roponent or its assignee, to purchase or lease such real property</w:t>
      </w:r>
      <w:r w:rsidR="00242216">
        <w:rPr>
          <w:rFonts w:ascii="Times New Roman" w:hAnsi="Times New Roman" w:cs="Times New Roman"/>
        </w:rPr>
        <w:t xml:space="preserve"> or hold an easement for such property</w:t>
      </w:r>
      <w:r w:rsidR="0086338E" w:rsidRPr="0086338E">
        <w:rPr>
          <w:rFonts w:ascii="Times New Roman" w:hAnsi="Times New Roman" w:cs="Times New Roman"/>
        </w:rPr>
        <w:t xml:space="preserve">; or (4) a duly executed contract for the purchase </w:t>
      </w:r>
      <w:r w:rsidR="00600AB0">
        <w:rPr>
          <w:rFonts w:ascii="Times New Roman" w:hAnsi="Times New Roman" w:cs="Times New Roman"/>
        </w:rPr>
        <w:t>and sale</w:t>
      </w:r>
      <w:r w:rsidR="0086338E" w:rsidRPr="0086338E">
        <w:rPr>
          <w:rFonts w:ascii="Times New Roman" w:hAnsi="Times New Roman" w:cs="Times New Roman"/>
        </w:rPr>
        <w:t xml:space="preserve"> of </w:t>
      </w:r>
      <w:r w:rsidR="0086338E" w:rsidRPr="00600AB0">
        <w:rPr>
          <w:rFonts w:ascii="Times New Roman" w:hAnsi="Times New Roman" w:cs="Times New Roman"/>
        </w:rPr>
        <w:t xml:space="preserve">such real property. </w:t>
      </w:r>
      <w:r w:rsidR="00600AB0" w:rsidRPr="00600AB0">
        <w:rPr>
          <w:rFonts w:ascii="Times New Roman" w:hAnsi="Times New Roman" w:cs="Times New Roman"/>
        </w:rPr>
        <w:t xml:space="preserve"> </w:t>
      </w:r>
      <w:r w:rsidR="00600AB0" w:rsidRPr="00072FB5">
        <w:rPr>
          <w:rFonts w:ascii="Times New Roman" w:hAnsi="Times New Roman" w:cs="Times New Roman"/>
        </w:rPr>
        <w:t>These are the only permissible forms of site control.</w:t>
      </w:r>
      <w:r w:rsidR="00600AB0">
        <w:rPr>
          <w:rFonts w:ascii="Times New Roman" w:hAnsi="Times New Roman" w:cs="Times New Roman"/>
        </w:rPr>
        <w:t xml:space="preserve">  </w:t>
      </w:r>
    </w:p>
    <w:p w:rsidR="00381A8B" w:rsidRPr="00AD0ADD" w:rsidRDefault="00381A8B">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072FB5">
        <w:rPr>
          <w:rFonts w:ascii="Times New Roman" w:hAnsi="Times New Roman" w:cs="Times New Roman"/>
        </w:rPr>
        <w:t>Site control documents must state the proponent’s legal company name, must be valid for the term of the standard-offer contract plus development time, must fully describe the parcel’s location with a 911 address, and must be fully executed.  Each project proposed must have its own independent site control.</w:t>
      </w:r>
    </w:p>
    <w:p w:rsidR="00BF0B82" w:rsidRDefault="00BF0B82" w:rsidP="00F330A1">
      <w:pPr>
        <w:pStyle w:val="Heading2"/>
        <w:spacing w:before="240" w:after="120" w:line="240" w:lineRule="auto"/>
        <w:rPr>
          <w:rFonts w:ascii="Times New Roman" w:hAnsi="Times New Roman" w:cs="Times New Roman"/>
        </w:rPr>
      </w:pPr>
      <w:bookmarkStart w:id="33" w:name="_Toc509494726"/>
      <w:r>
        <w:rPr>
          <w:rFonts w:ascii="Times New Roman" w:hAnsi="Times New Roman" w:cs="Times New Roman"/>
        </w:rPr>
        <w:t>3.2.3 Independent Technical Facility</w:t>
      </w:r>
      <w:bookmarkEnd w:id="33"/>
    </w:p>
    <w:p w:rsidR="00F43934" w:rsidRPr="00F43934" w:rsidRDefault="00F43934" w:rsidP="00F43934">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F43934">
        <w:rPr>
          <w:rFonts w:ascii="Times New Roman" w:hAnsi="Times New Roman" w:cs="Times New Roman"/>
        </w:rPr>
        <w:t>Pursuant</w:t>
      </w:r>
      <w:r w:rsidR="00103651">
        <w:rPr>
          <w:rFonts w:ascii="Times New Roman" w:hAnsi="Times New Roman" w:cs="Times New Roman"/>
        </w:rPr>
        <w:t xml:space="preserve"> to 30 V.S.A. § 8002(18), plant</w:t>
      </w:r>
      <w:r w:rsidRPr="00F43934">
        <w:rPr>
          <w:rFonts w:ascii="Times New Roman" w:hAnsi="Times New Roman" w:cs="Times New Roman"/>
        </w:rPr>
        <w:t xml:space="preserve"> means “an independent technical facility that generates electricity from renewable energy.  A group of facilities, such as wind turbines, shall be considered one plant if the group is part of the same project and uses common equipment and infrastructure such as roads, control facilities, and connections to the electric grid.  Common ownership, contiguity in time of construction, and proximity of facilities to each other shall be relevant to determining whether a group of facilities is part of the same project.”</w:t>
      </w:r>
    </w:p>
    <w:p w:rsidR="00F43934" w:rsidRDefault="00F43934" w:rsidP="00F43934">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F43934">
        <w:rPr>
          <w:rFonts w:ascii="Times New Roman" w:hAnsi="Times New Roman" w:cs="Times New Roman"/>
        </w:rPr>
        <w:t>If a proposed project is located at, adjacent to, or near an existing or proposed renewable energy generation facility, the project proponent must demonstrate that the two facilities would be considered separate plants under 30 V.S.A. § 8002(18).</w:t>
      </w:r>
    </w:p>
    <w:p w:rsidR="00F43934" w:rsidRPr="001819F7" w:rsidRDefault="00F43934" w:rsidP="001819F7">
      <w:pPr>
        <w:pStyle w:val="Heading2"/>
      </w:pPr>
      <w:bookmarkStart w:id="34" w:name="_Toc509494727"/>
      <w:r w:rsidRPr="001819F7">
        <w:t>3.2.4 Project Map</w:t>
      </w:r>
      <w:bookmarkEnd w:id="34"/>
    </w:p>
    <w:p w:rsidR="00F43934" w:rsidRPr="0086338E" w:rsidRDefault="00F43934" w:rsidP="00F43934">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F43934">
        <w:rPr>
          <w:rFonts w:ascii="Times New Roman" w:hAnsi="Times New Roman" w:cs="Times New Roman"/>
        </w:rPr>
        <w:t>Proposals shall include a site plan including a map(s) that clearly identifies the property for which the proponent has site control</w:t>
      </w:r>
      <w:r w:rsidR="00103651">
        <w:rPr>
          <w:rFonts w:ascii="Times New Roman" w:hAnsi="Times New Roman" w:cs="Times New Roman"/>
        </w:rPr>
        <w:t>,</w:t>
      </w:r>
      <w:r w:rsidRPr="00F43934">
        <w:rPr>
          <w:rFonts w:ascii="Times New Roman" w:hAnsi="Times New Roman" w:cs="Times New Roman"/>
        </w:rPr>
        <w:t xml:space="preserve"> including</w:t>
      </w:r>
      <w:r w:rsidR="001A6B59">
        <w:rPr>
          <w:rFonts w:ascii="Times New Roman" w:hAnsi="Times New Roman" w:cs="Times New Roman"/>
        </w:rPr>
        <w:t xml:space="preserve">: (1) </w:t>
      </w:r>
      <w:r w:rsidRPr="00F43934">
        <w:rPr>
          <w:rFonts w:ascii="Times New Roman" w:hAnsi="Times New Roman" w:cs="Times New Roman"/>
        </w:rPr>
        <w:t xml:space="preserve"> property line boundaries, </w:t>
      </w:r>
      <w:r w:rsidR="001A6B59">
        <w:rPr>
          <w:rFonts w:ascii="Times New Roman" w:hAnsi="Times New Roman" w:cs="Times New Roman"/>
        </w:rPr>
        <w:t xml:space="preserve">(2) </w:t>
      </w:r>
      <w:r w:rsidRPr="00F43934">
        <w:rPr>
          <w:rFonts w:ascii="Times New Roman" w:hAnsi="Times New Roman" w:cs="Times New Roman"/>
        </w:rPr>
        <w:t xml:space="preserve">the location of the project site on the property, </w:t>
      </w:r>
      <w:r w:rsidR="001A6B59">
        <w:rPr>
          <w:rFonts w:ascii="Times New Roman" w:hAnsi="Times New Roman" w:cs="Times New Roman"/>
        </w:rPr>
        <w:t xml:space="preserve">(3) </w:t>
      </w:r>
      <w:r w:rsidRPr="00F43934">
        <w:rPr>
          <w:rFonts w:ascii="Times New Roman" w:hAnsi="Times New Roman" w:cs="Times New Roman"/>
        </w:rPr>
        <w:t xml:space="preserve">any required rights-of-way, </w:t>
      </w:r>
      <w:r w:rsidR="001A6B59">
        <w:rPr>
          <w:rFonts w:ascii="Times New Roman" w:hAnsi="Times New Roman" w:cs="Times New Roman"/>
        </w:rPr>
        <w:t xml:space="preserve">(4) </w:t>
      </w:r>
      <w:r w:rsidRPr="00F43934">
        <w:rPr>
          <w:rFonts w:ascii="Times New Roman" w:hAnsi="Times New Roman" w:cs="Times New Roman"/>
        </w:rPr>
        <w:t xml:space="preserve">the total acreage of the project site, </w:t>
      </w:r>
      <w:r w:rsidR="001A6B59">
        <w:rPr>
          <w:rFonts w:ascii="Times New Roman" w:hAnsi="Times New Roman" w:cs="Times New Roman"/>
        </w:rPr>
        <w:t xml:space="preserve">(5) </w:t>
      </w:r>
      <w:r w:rsidRPr="00F43934">
        <w:rPr>
          <w:rFonts w:ascii="Times New Roman" w:hAnsi="Times New Roman" w:cs="Times New Roman"/>
        </w:rPr>
        <w:t xml:space="preserve">the anticipated interconnection point, </w:t>
      </w:r>
      <w:r w:rsidR="001A6B59">
        <w:rPr>
          <w:rFonts w:ascii="Times New Roman" w:hAnsi="Times New Roman" w:cs="Times New Roman"/>
        </w:rPr>
        <w:t xml:space="preserve">(6) </w:t>
      </w:r>
      <w:r w:rsidRPr="00F43934">
        <w:rPr>
          <w:rFonts w:ascii="Times New Roman" w:hAnsi="Times New Roman" w:cs="Times New Roman"/>
        </w:rPr>
        <w:t>the location of any existing projects or other proposed p</w:t>
      </w:r>
      <w:r w:rsidR="001A6B59">
        <w:rPr>
          <w:rFonts w:ascii="Times New Roman" w:hAnsi="Times New Roman" w:cs="Times New Roman"/>
        </w:rPr>
        <w:t>rojects that would share common equipment and infrastructure with the proposed project (such as roads, control facilities, and connections to the electric grid)</w:t>
      </w:r>
      <w:r w:rsidRPr="00F43934">
        <w:rPr>
          <w:rFonts w:ascii="Times New Roman" w:hAnsi="Times New Roman" w:cs="Times New Roman"/>
        </w:rPr>
        <w:t xml:space="preserve">, and </w:t>
      </w:r>
      <w:r w:rsidR="001A6B59">
        <w:rPr>
          <w:rFonts w:ascii="Times New Roman" w:hAnsi="Times New Roman" w:cs="Times New Roman"/>
        </w:rPr>
        <w:t xml:space="preserve">(7) </w:t>
      </w:r>
      <w:r w:rsidRPr="00F43934">
        <w:rPr>
          <w:rFonts w:ascii="Times New Roman" w:hAnsi="Times New Roman" w:cs="Times New Roman"/>
        </w:rPr>
        <w:t xml:space="preserve">the relationship of the site to other local infrastructure, including power lines, roadways, and water sources.  In addition to the project map, </w:t>
      </w:r>
      <w:r w:rsidR="00F77DAC">
        <w:rPr>
          <w:rFonts w:ascii="Times New Roman" w:hAnsi="Times New Roman" w:cs="Times New Roman"/>
        </w:rPr>
        <w:t xml:space="preserve">proposals shall </w:t>
      </w:r>
      <w:r w:rsidRPr="00F43934">
        <w:rPr>
          <w:rFonts w:ascii="Times New Roman" w:hAnsi="Times New Roman" w:cs="Times New Roman"/>
        </w:rPr>
        <w:t xml:space="preserve">provide a site layout plan that illustrates the location of all major equipment and facilities such as panel arrays, inverters, transformers, and any required structures on the project site.  The site layout </w:t>
      </w:r>
      <w:r w:rsidR="008D65D2">
        <w:rPr>
          <w:rFonts w:ascii="Times New Roman" w:hAnsi="Times New Roman" w:cs="Times New Roman"/>
        </w:rPr>
        <w:t>plan should be provided on a 24” x 36”</w:t>
      </w:r>
      <w:r w:rsidRPr="00F43934">
        <w:rPr>
          <w:rFonts w:ascii="Times New Roman" w:hAnsi="Times New Roman" w:cs="Times New Roman"/>
        </w:rPr>
        <w:t xml:space="preserve"> plan at a sufficient scale (i.e.</w:t>
      </w:r>
      <w:r w:rsidR="00257D8F">
        <w:rPr>
          <w:rFonts w:ascii="Times New Roman" w:hAnsi="Times New Roman" w:cs="Times New Roman"/>
        </w:rPr>
        <w:t>,</w:t>
      </w:r>
      <w:r w:rsidRPr="00F43934">
        <w:rPr>
          <w:rFonts w:ascii="Times New Roman" w:hAnsi="Times New Roman" w:cs="Times New Roman"/>
        </w:rPr>
        <w:t xml:space="preserve"> 1 inch = 50 feet) such that the locati</w:t>
      </w:r>
      <w:r w:rsidR="00103651">
        <w:rPr>
          <w:rFonts w:ascii="Times New Roman" w:hAnsi="Times New Roman" w:cs="Times New Roman"/>
        </w:rPr>
        <w:t>on of all project facilities is</w:t>
      </w:r>
      <w:r w:rsidRPr="00F43934">
        <w:rPr>
          <w:rFonts w:ascii="Times New Roman" w:hAnsi="Times New Roman" w:cs="Times New Roman"/>
        </w:rPr>
        <w:t xml:space="preserve"> easily discerned.</w:t>
      </w:r>
    </w:p>
    <w:p w:rsidR="0086338E" w:rsidRPr="0086338E" w:rsidRDefault="00A15335" w:rsidP="00F330A1">
      <w:pPr>
        <w:pStyle w:val="Heading2"/>
        <w:spacing w:before="240" w:after="120" w:line="240" w:lineRule="auto"/>
        <w:rPr>
          <w:rFonts w:ascii="Times New Roman" w:hAnsi="Times New Roman" w:cs="Times New Roman"/>
        </w:rPr>
      </w:pPr>
      <w:bookmarkStart w:id="35" w:name="_Toc349812092"/>
      <w:bookmarkStart w:id="36" w:name="_Toc509494728"/>
      <w:bookmarkEnd w:id="32"/>
      <w:r>
        <w:rPr>
          <w:rFonts w:ascii="Times New Roman" w:hAnsi="Times New Roman" w:cs="Times New Roman"/>
        </w:rPr>
        <w:t xml:space="preserve">3.3 </w:t>
      </w:r>
      <w:r w:rsidR="0086338E" w:rsidRPr="0086338E">
        <w:rPr>
          <w:rFonts w:ascii="Times New Roman" w:hAnsi="Times New Roman" w:cs="Times New Roman"/>
        </w:rPr>
        <w:t>Evaluation Criteria</w:t>
      </w:r>
      <w:bookmarkEnd w:id="35"/>
      <w:bookmarkEnd w:id="36"/>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6338E">
        <w:rPr>
          <w:rFonts w:ascii="Times New Roman" w:hAnsi="Times New Roman" w:cs="Times New Roman"/>
        </w:rPr>
        <w:t>Proposals will be reviewed and ranked based on the assessment criteria specified below.</w:t>
      </w:r>
    </w:p>
    <w:p w:rsidR="0086338E" w:rsidRDefault="00AE1147" w:rsidP="00F43934">
      <w:pPr>
        <w:pStyle w:val="Heading2"/>
        <w:keepNext w:val="0"/>
        <w:keepLines w:val="0"/>
        <w:spacing w:before="240" w:after="120" w:line="240" w:lineRule="auto"/>
        <w:rPr>
          <w:rFonts w:ascii="Times New Roman" w:hAnsi="Times New Roman" w:cs="Times New Roman"/>
        </w:rPr>
      </w:pPr>
      <w:bookmarkStart w:id="37" w:name="_Toc509494729"/>
      <w:bookmarkStart w:id="38" w:name="_Toc349812093"/>
      <w:r>
        <w:rPr>
          <w:rFonts w:ascii="Times New Roman" w:hAnsi="Times New Roman" w:cs="Times New Roman"/>
        </w:rPr>
        <w:t xml:space="preserve">3.3.1 </w:t>
      </w:r>
      <w:r w:rsidR="0086338E" w:rsidRPr="0086338E">
        <w:rPr>
          <w:rFonts w:ascii="Times New Roman" w:hAnsi="Times New Roman" w:cs="Times New Roman"/>
        </w:rPr>
        <w:t>Selection of Award Group</w:t>
      </w:r>
      <w:bookmarkEnd w:id="37"/>
      <w:r w:rsidR="0086338E" w:rsidRPr="0086338E">
        <w:rPr>
          <w:rFonts w:ascii="Times New Roman" w:hAnsi="Times New Roman" w:cs="Times New Roman"/>
        </w:rPr>
        <w:t xml:space="preserve"> </w:t>
      </w:r>
    </w:p>
    <w:p w:rsidR="00104D82" w:rsidRDefault="00104D82" w:rsidP="00F439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 xml:space="preserve">The </w:t>
      </w:r>
      <w:r w:rsidR="00C42992">
        <w:rPr>
          <w:rFonts w:ascii="Times New Roman" w:hAnsi="Times New Roman" w:cs="Times New Roman"/>
        </w:rPr>
        <w:t xml:space="preserve">program </w:t>
      </w:r>
      <w:r>
        <w:rPr>
          <w:rFonts w:ascii="Times New Roman" w:hAnsi="Times New Roman" w:cs="Times New Roman"/>
        </w:rPr>
        <w:t>capacity for this RFP shall be awarded in the manner described in the table cont</w:t>
      </w:r>
      <w:r w:rsidR="00F77DAC">
        <w:rPr>
          <w:rFonts w:ascii="Times New Roman" w:hAnsi="Times New Roman" w:cs="Times New Roman"/>
        </w:rPr>
        <w:t>ained in Section 1</w:t>
      </w:r>
      <w:r>
        <w:rPr>
          <w:rFonts w:ascii="Times New Roman" w:hAnsi="Times New Roman" w:cs="Times New Roman"/>
        </w:rPr>
        <w:t xml:space="preserve">. </w:t>
      </w:r>
      <w:r w:rsidR="00613749" w:rsidRPr="00B321D1">
        <w:rPr>
          <w:rFonts w:ascii="Times New Roman" w:hAnsi="Times New Roman" w:cs="Times New Roman"/>
        </w:rPr>
        <w:t xml:space="preserve">  </w:t>
      </w:r>
    </w:p>
    <w:p w:rsidR="00C42992" w:rsidRDefault="00C42992" w:rsidP="00F439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For the D</w:t>
      </w:r>
      <w:r w:rsidR="00103651">
        <w:rPr>
          <w:rFonts w:ascii="Times New Roman" w:hAnsi="Times New Roman" w:cs="Times New Roman"/>
        </w:rPr>
        <w:t>eveloper Block, the capacity of</w:t>
      </w:r>
      <w:r>
        <w:rPr>
          <w:rFonts w:ascii="Times New Roman" w:hAnsi="Times New Roman" w:cs="Times New Roman"/>
        </w:rPr>
        <w:t xml:space="preserve"> an individual project shall not exceed 2.2 MW for projects competing in the Price-Competitive Developer Block or the Technolog</w:t>
      </w:r>
      <w:r w:rsidR="00242216">
        <w:rPr>
          <w:rFonts w:ascii="Times New Roman" w:hAnsi="Times New Roman" w:cs="Times New Roman"/>
        </w:rPr>
        <w:t>y Diversity Developer Block.</w:t>
      </w:r>
    </w:p>
    <w:p w:rsidR="005C0FCE" w:rsidRDefault="005C0FCE" w:rsidP="00F439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lastRenderedPageBreak/>
        <w:t xml:space="preserve">For the </w:t>
      </w:r>
      <w:r w:rsidR="00103651">
        <w:rPr>
          <w:rFonts w:ascii="Times New Roman" w:hAnsi="Times New Roman" w:cs="Times New Roman"/>
        </w:rPr>
        <w:t>Provider Block, the capacity of</w:t>
      </w:r>
      <w:r>
        <w:rPr>
          <w:rFonts w:ascii="Times New Roman" w:hAnsi="Times New Roman" w:cs="Times New Roman"/>
        </w:rPr>
        <w:t xml:space="preserve"> an individual</w:t>
      </w:r>
      <w:r w:rsidR="00242216">
        <w:rPr>
          <w:rFonts w:ascii="Times New Roman" w:hAnsi="Times New Roman" w:cs="Times New Roman"/>
        </w:rPr>
        <w:t xml:space="preserve"> project shall not exceed 1.125 </w:t>
      </w:r>
      <w:r>
        <w:rPr>
          <w:rFonts w:ascii="Times New Roman" w:hAnsi="Times New Roman" w:cs="Times New Roman"/>
        </w:rPr>
        <w:t>MW.</w:t>
      </w:r>
    </w:p>
    <w:p w:rsidR="00BF0B82" w:rsidRDefault="00BF0B82" w:rsidP="00F439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36307B">
        <w:rPr>
          <w:rFonts w:ascii="Times New Roman" w:hAnsi="Times New Roman" w:cs="Times New Roman"/>
        </w:rPr>
        <w:t>All</w:t>
      </w:r>
      <w:r w:rsidR="00257D8F">
        <w:rPr>
          <w:rFonts w:ascii="Times New Roman" w:hAnsi="Times New Roman" w:cs="Times New Roman"/>
        </w:rPr>
        <w:t xml:space="preserve"> projects are</w:t>
      </w:r>
      <w:r w:rsidRPr="00BF0B82">
        <w:rPr>
          <w:rFonts w:ascii="Times New Roman" w:hAnsi="Times New Roman" w:cs="Times New Roman"/>
        </w:rPr>
        <w:t xml:space="preserve"> required </w:t>
      </w:r>
      <w:r w:rsidR="00C42992">
        <w:rPr>
          <w:rFonts w:ascii="Times New Roman" w:hAnsi="Times New Roman" w:cs="Times New Roman"/>
        </w:rPr>
        <w:t>to offer a price that is no greater</w:t>
      </w:r>
      <w:r w:rsidRPr="00BF0B82">
        <w:rPr>
          <w:rFonts w:ascii="Times New Roman" w:hAnsi="Times New Roman" w:cs="Times New Roman"/>
        </w:rPr>
        <w:t xml:space="preserve"> than the relevant technology-specific avoided costs indicate</w:t>
      </w:r>
      <w:r w:rsidR="00D30C6E">
        <w:rPr>
          <w:rFonts w:ascii="Times New Roman" w:hAnsi="Times New Roman" w:cs="Times New Roman"/>
        </w:rPr>
        <w:t>d in Section 3.3.4</w:t>
      </w:r>
      <w:r w:rsidR="00257D8F">
        <w:rPr>
          <w:rFonts w:ascii="Times New Roman" w:hAnsi="Times New Roman" w:cs="Times New Roman"/>
        </w:rPr>
        <w:t>,</w:t>
      </w:r>
      <w:r w:rsidRPr="00BF0B82">
        <w:rPr>
          <w:rFonts w:ascii="Times New Roman" w:hAnsi="Times New Roman" w:cs="Times New Roman"/>
        </w:rPr>
        <w:t xml:space="preserve"> below.</w:t>
      </w:r>
    </w:p>
    <w:p w:rsidR="00231861" w:rsidRDefault="00007C2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Selection of</w:t>
      </w:r>
      <w:r w:rsidR="00133221">
        <w:rPr>
          <w:rFonts w:ascii="Times New Roman" w:hAnsi="Times New Roman" w:cs="Times New Roman"/>
        </w:rPr>
        <w:t xml:space="preserve"> the RFP award group will</w:t>
      </w:r>
      <w:r>
        <w:rPr>
          <w:rFonts w:ascii="Times New Roman" w:hAnsi="Times New Roman" w:cs="Times New Roman"/>
        </w:rPr>
        <w:t xml:space="preserve"> </w:t>
      </w:r>
      <w:r w:rsidR="00D55C31">
        <w:rPr>
          <w:rFonts w:ascii="Times New Roman" w:hAnsi="Times New Roman" w:cs="Times New Roman"/>
        </w:rPr>
        <w:t xml:space="preserve">begin with the Provider Block.  </w:t>
      </w:r>
      <w:r w:rsidR="008120CC">
        <w:rPr>
          <w:rFonts w:ascii="Times New Roman" w:hAnsi="Times New Roman" w:cs="Times New Roman"/>
        </w:rPr>
        <w:t xml:space="preserve">Project proposals </w:t>
      </w:r>
      <w:r w:rsidR="008120CC" w:rsidRPr="00BF0B82">
        <w:rPr>
          <w:rFonts w:ascii="Times New Roman" w:hAnsi="Times New Roman" w:cs="Times New Roman"/>
        </w:rPr>
        <w:t>will be ranked based on the levelized price offered, ordered from lowest to highest.</w:t>
      </w:r>
      <w:r w:rsidR="008120CC">
        <w:rPr>
          <w:rFonts w:ascii="Times New Roman" w:hAnsi="Times New Roman" w:cs="Times New Roman"/>
        </w:rPr>
        <w:t xml:space="preserve">  </w:t>
      </w:r>
      <w:r w:rsidR="008120CC" w:rsidRPr="00BF0B82">
        <w:rPr>
          <w:rFonts w:ascii="Times New Roman" w:hAnsi="Times New Roman" w:cs="Times New Roman"/>
        </w:rPr>
        <w:t>Standard-offer contracts w</w:t>
      </w:r>
      <w:r w:rsidR="008120CC">
        <w:rPr>
          <w:rFonts w:ascii="Times New Roman" w:hAnsi="Times New Roman" w:cs="Times New Roman"/>
        </w:rPr>
        <w:t>ill</w:t>
      </w:r>
      <w:r w:rsidR="008120CC" w:rsidRPr="00BF0B82">
        <w:rPr>
          <w:rFonts w:ascii="Times New Roman" w:hAnsi="Times New Roman" w:cs="Times New Roman"/>
        </w:rPr>
        <w:t xml:space="preserve"> be offered to those proposals </w:t>
      </w:r>
      <w:r w:rsidR="008120CC">
        <w:rPr>
          <w:rFonts w:ascii="Times New Roman" w:hAnsi="Times New Roman" w:cs="Times New Roman"/>
        </w:rPr>
        <w:t xml:space="preserve">with the lowest prices until </w:t>
      </w:r>
      <w:r w:rsidR="00133221">
        <w:rPr>
          <w:rFonts w:ascii="Times New Roman" w:hAnsi="Times New Roman" w:cs="Times New Roman"/>
        </w:rPr>
        <w:t xml:space="preserve">the </w:t>
      </w:r>
      <w:r w:rsidR="008120CC">
        <w:rPr>
          <w:rFonts w:ascii="Times New Roman" w:hAnsi="Times New Roman" w:cs="Times New Roman"/>
        </w:rPr>
        <w:t>Provider Block</w:t>
      </w:r>
      <w:r w:rsidR="008120CC" w:rsidRPr="00BF0B82">
        <w:rPr>
          <w:rFonts w:ascii="Times New Roman" w:hAnsi="Times New Roman" w:cs="Times New Roman"/>
        </w:rPr>
        <w:t xml:space="preserve"> has be</w:t>
      </w:r>
      <w:r w:rsidR="00D5760B">
        <w:rPr>
          <w:rFonts w:ascii="Times New Roman" w:hAnsi="Times New Roman" w:cs="Times New Roman"/>
        </w:rPr>
        <w:t>en filled.  Once the</w:t>
      </w:r>
      <w:r w:rsidR="008120CC" w:rsidRPr="00BF0B82">
        <w:rPr>
          <w:rFonts w:ascii="Times New Roman" w:hAnsi="Times New Roman" w:cs="Times New Roman"/>
        </w:rPr>
        <w:t xml:space="preserve"> </w:t>
      </w:r>
      <w:r w:rsidR="00231861">
        <w:rPr>
          <w:rFonts w:ascii="Times New Roman" w:hAnsi="Times New Roman" w:cs="Times New Roman"/>
        </w:rPr>
        <w:t>1.125</w:t>
      </w:r>
      <w:r w:rsidR="008120CC">
        <w:rPr>
          <w:rFonts w:ascii="Times New Roman" w:hAnsi="Times New Roman" w:cs="Times New Roman"/>
        </w:rPr>
        <w:t xml:space="preserve"> MW</w:t>
      </w:r>
      <w:r w:rsidR="008120CC" w:rsidRPr="00BF0B82">
        <w:rPr>
          <w:rFonts w:ascii="Times New Roman" w:hAnsi="Times New Roman" w:cs="Times New Roman"/>
        </w:rPr>
        <w:t xml:space="preserve"> allocation is approached but not exceeded, the proposal that would cause the </w:t>
      </w:r>
      <w:r w:rsidR="00D5760B">
        <w:rPr>
          <w:rFonts w:ascii="Times New Roman" w:hAnsi="Times New Roman" w:cs="Times New Roman"/>
        </w:rPr>
        <w:t xml:space="preserve">size of the </w:t>
      </w:r>
      <w:r w:rsidR="008120CC" w:rsidRPr="00BF0B82">
        <w:rPr>
          <w:rFonts w:ascii="Times New Roman" w:hAnsi="Times New Roman" w:cs="Times New Roman"/>
        </w:rPr>
        <w:t xml:space="preserve">award group to exceed the </w:t>
      </w:r>
      <w:r w:rsidR="00231861">
        <w:rPr>
          <w:rFonts w:ascii="Times New Roman" w:hAnsi="Times New Roman" w:cs="Times New Roman"/>
        </w:rPr>
        <w:t>1.125</w:t>
      </w:r>
      <w:r w:rsidR="008120CC">
        <w:rPr>
          <w:rFonts w:ascii="Times New Roman" w:hAnsi="Times New Roman" w:cs="Times New Roman"/>
        </w:rPr>
        <w:t xml:space="preserve"> MW</w:t>
      </w:r>
      <w:r w:rsidR="008120CC" w:rsidRPr="00BF0B82">
        <w:rPr>
          <w:rFonts w:ascii="Times New Roman" w:hAnsi="Times New Roman" w:cs="Times New Roman"/>
        </w:rPr>
        <w:t xml:space="preserve"> allocation </w:t>
      </w:r>
      <w:r w:rsidR="008120CC" w:rsidRPr="00BF0B82">
        <w:rPr>
          <w:rFonts w:ascii="Times New Roman" w:hAnsi="Times New Roman" w:cs="Times New Roman"/>
          <w:b/>
        </w:rPr>
        <w:t>will</w:t>
      </w:r>
      <w:r w:rsidR="00D5760B">
        <w:rPr>
          <w:rFonts w:ascii="Times New Roman" w:hAnsi="Times New Roman" w:cs="Times New Roman"/>
          <w:b/>
        </w:rPr>
        <w:t xml:space="preserve"> </w:t>
      </w:r>
      <w:r w:rsidR="008120CC" w:rsidRPr="00BF0B82">
        <w:rPr>
          <w:rFonts w:ascii="Times New Roman" w:hAnsi="Times New Roman" w:cs="Times New Roman"/>
        </w:rPr>
        <w:t>be included in the award group.</w:t>
      </w:r>
      <w:r w:rsidR="008120CC">
        <w:rPr>
          <w:rFonts w:ascii="Times New Roman" w:hAnsi="Times New Roman" w:cs="Times New Roman"/>
        </w:rPr>
        <w:t xml:space="preserve">  </w:t>
      </w:r>
      <w:r w:rsidR="00D5760B">
        <w:rPr>
          <w:rFonts w:ascii="Times New Roman" w:hAnsi="Times New Roman" w:cs="Times New Roman"/>
        </w:rPr>
        <w:t>A</w:t>
      </w:r>
      <w:r w:rsidR="00D5760B" w:rsidRPr="00BF0B82">
        <w:rPr>
          <w:rFonts w:ascii="Times New Roman" w:hAnsi="Times New Roman" w:cs="Times New Roman"/>
        </w:rPr>
        <w:t xml:space="preserve">n individual project that exceeds </w:t>
      </w:r>
      <w:r w:rsidR="00D5760B">
        <w:rPr>
          <w:rFonts w:ascii="Times New Roman" w:hAnsi="Times New Roman" w:cs="Times New Roman"/>
        </w:rPr>
        <w:t>the</w:t>
      </w:r>
      <w:r w:rsidR="00D5760B" w:rsidRPr="00BF0B82">
        <w:rPr>
          <w:rFonts w:ascii="Times New Roman" w:hAnsi="Times New Roman" w:cs="Times New Roman"/>
        </w:rPr>
        <w:t xml:space="preserve"> allocation</w:t>
      </w:r>
      <w:r w:rsidR="00231861">
        <w:rPr>
          <w:rFonts w:ascii="Times New Roman" w:hAnsi="Times New Roman" w:cs="Times New Roman"/>
        </w:rPr>
        <w:t xml:space="preserve"> for the Provider Block</w:t>
      </w:r>
      <w:r w:rsidR="00D5760B" w:rsidRPr="00BF0B82">
        <w:rPr>
          <w:rFonts w:ascii="Times New Roman" w:hAnsi="Times New Roman" w:cs="Times New Roman"/>
        </w:rPr>
        <w:t xml:space="preserve"> shall be eligible to submit an RFP bid as long as th</w:t>
      </w:r>
      <w:r w:rsidR="00D5760B">
        <w:rPr>
          <w:rFonts w:ascii="Times New Roman" w:hAnsi="Times New Roman" w:cs="Times New Roman"/>
        </w:rPr>
        <w:t xml:space="preserve">e </w:t>
      </w:r>
      <w:r w:rsidR="00231861">
        <w:rPr>
          <w:rFonts w:ascii="Times New Roman" w:hAnsi="Times New Roman" w:cs="Times New Roman"/>
        </w:rPr>
        <w:t>project is not larger than 1.125</w:t>
      </w:r>
      <w:r w:rsidR="00D5760B" w:rsidRPr="00BF0B82">
        <w:rPr>
          <w:rFonts w:ascii="Times New Roman" w:hAnsi="Times New Roman" w:cs="Times New Roman"/>
        </w:rPr>
        <w:t xml:space="preserve"> MW in capacity.</w:t>
      </w:r>
      <w:r w:rsidR="00D5760B">
        <w:rPr>
          <w:rFonts w:ascii="Times New Roman" w:hAnsi="Times New Roman" w:cs="Times New Roman"/>
        </w:rPr>
        <w:t xml:space="preserve">  I</w:t>
      </w:r>
      <w:r w:rsidR="00D5760B" w:rsidRPr="00D5760B">
        <w:rPr>
          <w:rFonts w:ascii="Times New Roman" w:hAnsi="Times New Roman" w:cs="Times New Roman"/>
        </w:rPr>
        <w:t>n the event there is any unbid capacity wi</w:t>
      </w:r>
      <w:r w:rsidR="00231861">
        <w:rPr>
          <w:rFonts w:ascii="Times New Roman" w:hAnsi="Times New Roman" w:cs="Times New Roman"/>
        </w:rPr>
        <w:t>thin the Provider Block</w:t>
      </w:r>
      <w:r w:rsidR="00257D8F">
        <w:rPr>
          <w:rFonts w:ascii="Times New Roman" w:hAnsi="Times New Roman" w:cs="Times New Roman"/>
        </w:rPr>
        <w:t>,</w:t>
      </w:r>
      <w:r w:rsidR="00F06063">
        <w:rPr>
          <w:rFonts w:ascii="Times New Roman" w:hAnsi="Times New Roman" w:cs="Times New Roman"/>
        </w:rPr>
        <w:t xml:space="preserve"> </w:t>
      </w:r>
      <w:r w:rsidR="00D5760B" w:rsidRPr="00D5760B">
        <w:rPr>
          <w:rFonts w:ascii="Times New Roman" w:hAnsi="Times New Roman" w:cs="Times New Roman"/>
        </w:rPr>
        <w:t>that capaci</w:t>
      </w:r>
      <w:r w:rsidR="00231861">
        <w:rPr>
          <w:rFonts w:ascii="Times New Roman" w:hAnsi="Times New Roman" w:cs="Times New Roman"/>
        </w:rPr>
        <w:t>ty will be allocated to the 2019</w:t>
      </w:r>
      <w:r w:rsidR="00D5760B" w:rsidRPr="00D5760B">
        <w:rPr>
          <w:rFonts w:ascii="Times New Roman" w:hAnsi="Times New Roman" w:cs="Times New Roman"/>
        </w:rPr>
        <w:t xml:space="preserve"> annual increase for the standard-offer program.  </w:t>
      </w:r>
    </w:p>
    <w:p w:rsidR="00BF0B82" w:rsidRDefault="00133221">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After the</w:t>
      </w:r>
      <w:r w:rsidR="003E0FF5">
        <w:rPr>
          <w:rFonts w:ascii="Times New Roman" w:hAnsi="Times New Roman" w:cs="Times New Roman"/>
        </w:rPr>
        <w:t xml:space="preserve"> Provider Block determinations</w:t>
      </w:r>
      <w:r>
        <w:rPr>
          <w:rFonts w:ascii="Times New Roman" w:hAnsi="Times New Roman" w:cs="Times New Roman"/>
        </w:rPr>
        <w:t xml:space="preserve"> have been made</w:t>
      </w:r>
      <w:r w:rsidR="003E0FF5">
        <w:rPr>
          <w:rFonts w:ascii="Times New Roman" w:hAnsi="Times New Roman" w:cs="Times New Roman"/>
        </w:rPr>
        <w:t>, selection of the RFP award group will co</w:t>
      </w:r>
      <w:r w:rsidR="00231861">
        <w:rPr>
          <w:rFonts w:ascii="Times New Roman" w:hAnsi="Times New Roman" w:cs="Times New Roman"/>
        </w:rPr>
        <w:t xml:space="preserve">ntinue with </w:t>
      </w:r>
      <w:r w:rsidR="00A83AF6">
        <w:rPr>
          <w:rFonts w:ascii="Times New Roman" w:hAnsi="Times New Roman" w:cs="Times New Roman"/>
        </w:rPr>
        <w:t>the Technology Diversity Developer Block</w:t>
      </w:r>
      <w:r w:rsidR="00231861">
        <w:rPr>
          <w:rFonts w:ascii="Times New Roman" w:hAnsi="Times New Roman" w:cs="Times New Roman"/>
        </w:rPr>
        <w:t xml:space="preserve"> of the Developer Block.  The Technology Diversity Developer Block includes biomass, </w:t>
      </w:r>
      <w:r w:rsidR="00F47616">
        <w:rPr>
          <w:rFonts w:ascii="Times New Roman" w:hAnsi="Times New Roman" w:cs="Times New Roman"/>
        </w:rPr>
        <w:t>small wind</w:t>
      </w:r>
      <w:r w:rsidR="00231861">
        <w:rPr>
          <w:rFonts w:ascii="Times New Roman" w:hAnsi="Times New Roman" w:cs="Times New Roman"/>
        </w:rPr>
        <w:t xml:space="preserve">, large wind, </w:t>
      </w:r>
      <w:r w:rsidR="00F47616">
        <w:rPr>
          <w:rFonts w:ascii="Times New Roman" w:hAnsi="Times New Roman" w:cs="Times New Roman"/>
        </w:rPr>
        <w:t>food-waste anaerobic digestion</w:t>
      </w:r>
      <w:r w:rsidR="00231861">
        <w:rPr>
          <w:rFonts w:ascii="Times New Roman" w:hAnsi="Times New Roman" w:cs="Times New Roman"/>
        </w:rPr>
        <w:t>, and hydroelectric</w:t>
      </w:r>
      <w:r w:rsidR="00F47616">
        <w:rPr>
          <w:rFonts w:ascii="Times New Roman" w:hAnsi="Times New Roman" w:cs="Times New Roman"/>
        </w:rPr>
        <w:t xml:space="preserve"> categories</w:t>
      </w:r>
      <w:r w:rsidR="00A83AF6">
        <w:rPr>
          <w:rFonts w:ascii="Times New Roman" w:hAnsi="Times New Roman" w:cs="Times New Roman"/>
        </w:rPr>
        <w:t xml:space="preserve">.  </w:t>
      </w:r>
      <w:r w:rsidR="00F47616">
        <w:rPr>
          <w:rFonts w:ascii="Times New Roman" w:hAnsi="Times New Roman" w:cs="Times New Roman"/>
        </w:rPr>
        <w:t>For each technology category</w:t>
      </w:r>
      <w:r w:rsidR="00BF0B82" w:rsidRPr="00BF0B82">
        <w:rPr>
          <w:rFonts w:ascii="Times New Roman" w:hAnsi="Times New Roman" w:cs="Times New Roman"/>
        </w:rPr>
        <w:t xml:space="preserve">, </w:t>
      </w:r>
      <w:r w:rsidR="00F47616">
        <w:rPr>
          <w:rFonts w:ascii="Times New Roman" w:hAnsi="Times New Roman" w:cs="Times New Roman"/>
        </w:rPr>
        <w:t xml:space="preserve">eligible </w:t>
      </w:r>
      <w:r w:rsidR="00BF0B82" w:rsidRPr="00BF0B82">
        <w:rPr>
          <w:rFonts w:ascii="Times New Roman" w:hAnsi="Times New Roman" w:cs="Times New Roman"/>
        </w:rPr>
        <w:t>projects will be ranked based on the levelized price offered, ordered from lowest to highest.  Standard-offer contracts w</w:t>
      </w:r>
      <w:r w:rsidR="0046529D">
        <w:rPr>
          <w:rFonts w:ascii="Times New Roman" w:hAnsi="Times New Roman" w:cs="Times New Roman"/>
        </w:rPr>
        <w:t>ill</w:t>
      </w:r>
      <w:r w:rsidR="00BF0B82" w:rsidRPr="00BF0B82">
        <w:rPr>
          <w:rFonts w:ascii="Times New Roman" w:hAnsi="Times New Roman" w:cs="Times New Roman"/>
        </w:rPr>
        <w:t xml:space="preserve"> be offered to those proposals with the lowest prices until each individual technology-specific allocation has been filled.  Once a </w:t>
      </w:r>
      <w:r w:rsidR="00231861">
        <w:rPr>
          <w:rFonts w:ascii="Times New Roman" w:hAnsi="Times New Roman" w:cs="Times New Roman"/>
        </w:rPr>
        <w:t>0.835</w:t>
      </w:r>
      <w:r w:rsidR="00FA29CE">
        <w:rPr>
          <w:rFonts w:ascii="Times New Roman" w:hAnsi="Times New Roman" w:cs="Times New Roman"/>
        </w:rPr>
        <w:t xml:space="preserve"> </w:t>
      </w:r>
      <w:r w:rsidR="00613749">
        <w:rPr>
          <w:rFonts w:ascii="Times New Roman" w:hAnsi="Times New Roman" w:cs="Times New Roman"/>
        </w:rPr>
        <w:t>MW</w:t>
      </w:r>
      <w:r w:rsidR="00BF0B82" w:rsidRPr="00BF0B82">
        <w:rPr>
          <w:rFonts w:ascii="Times New Roman" w:hAnsi="Times New Roman" w:cs="Times New Roman"/>
        </w:rPr>
        <w:t xml:space="preserve"> technology-specific allocation is approached but not exceeded, the proposal that would cause the size of the technology-specific award group to exceed the </w:t>
      </w:r>
      <w:r w:rsidR="00231861">
        <w:rPr>
          <w:rFonts w:ascii="Times New Roman" w:hAnsi="Times New Roman" w:cs="Times New Roman"/>
        </w:rPr>
        <w:t>0.835</w:t>
      </w:r>
      <w:r w:rsidR="00613749">
        <w:rPr>
          <w:rFonts w:ascii="Times New Roman" w:hAnsi="Times New Roman" w:cs="Times New Roman"/>
        </w:rPr>
        <w:t xml:space="preserve"> MW</w:t>
      </w:r>
      <w:r w:rsidR="00BF0B82" w:rsidRPr="00BF0B82">
        <w:rPr>
          <w:rFonts w:ascii="Times New Roman" w:hAnsi="Times New Roman" w:cs="Times New Roman"/>
        </w:rPr>
        <w:t xml:space="preserve"> allocation </w:t>
      </w:r>
      <w:r w:rsidR="00BF0B82" w:rsidRPr="00BF0B82">
        <w:rPr>
          <w:rFonts w:ascii="Times New Roman" w:hAnsi="Times New Roman" w:cs="Times New Roman"/>
          <w:b/>
        </w:rPr>
        <w:t xml:space="preserve">will </w:t>
      </w:r>
      <w:r w:rsidR="00BF0B82" w:rsidRPr="00BF0B82">
        <w:rPr>
          <w:rFonts w:ascii="Times New Roman" w:hAnsi="Times New Roman" w:cs="Times New Roman"/>
        </w:rPr>
        <w:t>be included in the award group.  Although each technology-spec</w:t>
      </w:r>
      <w:r w:rsidR="00FA29CE">
        <w:rPr>
          <w:rFonts w:ascii="Times New Roman" w:hAnsi="Times New Roman" w:cs="Times New Roman"/>
        </w:rPr>
        <w:t>ific capacity allocation is</w:t>
      </w:r>
      <w:r w:rsidR="00BF0B82" w:rsidRPr="00BF0B82">
        <w:rPr>
          <w:rFonts w:ascii="Times New Roman" w:hAnsi="Times New Roman" w:cs="Times New Roman"/>
        </w:rPr>
        <w:t xml:space="preserve"> smaller than the 2.2 MW maximum project capacity allowed, an individual project that exceeds a technology category’s capacity allocation shall be eligible to submit an RFP bid as long as the project is not larger than 2.2 MW in capacity.</w:t>
      </w:r>
    </w:p>
    <w:p w:rsidR="0027371C" w:rsidRPr="00BF0B82" w:rsidRDefault="008D65D2">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 xml:space="preserve">After </w:t>
      </w:r>
      <w:r w:rsidR="00F77DAC">
        <w:rPr>
          <w:rFonts w:ascii="Times New Roman" w:hAnsi="Times New Roman" w:cs="Times New Roman"/>
        </w:rPr>
        <w:t xml:space="preserve">the award group for </w:t>
      </w:r>
      <w:r>
        <w:rPr>
          <w:rFonts w:ascii="Times New Roman" w:hAnsi="Times New Roman" w:cs="Times New Roman"/>
        </w:rPr>
        <w:t>each individual technology-specific allocation has been determined</w:t>
      </w:r>
      <w:r w:rsidR="0027371C">
        <w:rPr>
          <w:rFonts w:ascii="Times New Roman" w:hAnsi="Times New Roman" w:cs="Times New Roman"/>
        </w:rPr>
        <w:t>, a</w:t>
      </w:r>
      <w:r w:rsidR="0027371C" w:rsidRPr="0027371C">
        <w:rPr>
          <w:rFonts w:ascii="Times New Roman" w:hAnsi="Times New Roman" w:cs="Times New Roman"/>
        </w:rPr>
        <w:t>ny unused allocated capacity within these five technology categories will be made available to the rest of the Technology Diversity Developer Block.  All remaining developer bids in the block will be grouped together and ranked based on price offered, ordered lowest to highest.  Standard-offer contracts will be offered to those proposals with the lowest bid price until the remaining annual capacity allocated to the Technology Diversity Developer Block has been filled.  Any allocated capacity that remains within the block after this step will be allocated to the Price-Competitive Developer Block.</w:t>
      </w:r>
    </w:p>
    <w:p w:rsidR="00BF0B82" w:rsidRDefault="001332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 xml:space="preserve">After </w:t>
      </w:r>
      <w:r w:rsidR="001279E0">
        <w:rPr>
          <w:rFonts w:ascii="Times New Roman" w:hAnsi="Times New Roman" w:cs="Times New Roman"/>
        </w:rPr>
        <w:t xml:space="preserve">the </w:t>
      </w:r>
      <w:r w:rsidR="003B2052">
        <w:rPr>
          <w:rFonts w:ascii="Times New Roman" w:hAnsi="Times New Roman" w:cs="Times New Roman"/>
        </w:rPr>
        <w:t xml:space="preserve">Technology </w:t>
      </w:r>
      <w:r w:rsidR="008C11F5">
        <w:rPr>
          <w:rFonts w:ascii="Times New Roman" w:hAnsi="Times New Roman" w:cs="Times New Roman"/>
        </w:rPr>
        <w:t xml:space="preserve">Diversity </w:t>
      </w:r>
      <w:r w:rsidR="003B2052">
        <w:rPr>
          <w:rFonts w:ascii="Times New Roman" w:hAnsi="Times New Roman" w:cs="Times New Roman"/>
        </w:rPr>
        <w:t xml:space="preserve">Developer </w:t>
      </w:r>
      <w:r w:rsidR="008C11F5">
        <w:rPr>
          <w:rFonts w:ascii="Times New Roman" w:hAnsi="Times New Roman" w:cs="Times New Roman"/>
        </w:rPr>
        <w:t>Block</w:t>
      </w:r>
      <w:r>
        <w:rPr>
          <w:rFonts w:ascii="Times New Roman" w:hAnsi="Times New Roman" w:cs="Times New Roman"/>
        </w:rPr>
        <w:t xml:space="preserve"> selections have been made</w:t>
      </w:r>
      <w:r w:rsidR="00BF0B82" w:rsidRPr="00BF0B82">
        <w:rPr>
          <w:rFonts w:ascii="Times New Roman" w:hAnsi="Times New Roman" w:cs="Times New Roman"/>
        </w:rPr>
        <w:t>,</w:t>
      </w:r>
      <w:r w:rsidR="001279E0">
        <w:rPr>
          <w:rFonts w:ascii="Times New Roman" w:hAnsi="Times New Roman" w:cs="Times New Roman"/>
        </w:rPr>
        <w:t xml:space="preserve"> selection of the RFP award group will continue with </w:t>
      </w:r>
      <w:r w:rsidR="00257D8F">
        <w:rPr>
          <w:rFonts w:ascii="Times New Roman" w:hAnsi="Times New Roman" w:cs="Times New Roman"/>
        </w:rPr>
        <w:t xml:space="preserve">the </w:t>
      </w:r>
      <w:r w:rsidR="001279E0">
        <w:rPr>
          <w:rFonts w:ascii="Times New Roman" w:hAnsi="Times New Roman" w:cs="Times New Roman"/>
        </w:rPr>
        <w:t>Pri</w:t>
      </w:r>
      <w:r w:rsidR="00F47616">
        <w:rPr>
          <w:rFonts w:ascii="Times New Roman" w:hAnsi="Times New Roman" w:cs="Times New Roman"/>
        </w:rPr>
        <w:t xml:space="preserve">ce-Competitive Developer Block.  </w:t>
      </w:r>
      <w:r w:rsidR="001279E0">
        <w:rPr>
          <w:rFonts w:ascii="Times New Roman" w:hAnsi="Times New Roman" w:cs="Times New Roman"/>
        </w:rPr>
        <w:t>A</w:t>
      </w:r>
      <w:r w:rsidR="00A6108B">
        <w:rPr>
          <w:rFonts w:ascii="Times New Roman" w:hAnsi="Times New Roman" w:cs="Times New Roman"/>
        </w:rPr>
        <w:t xml:space="preserve">ll </w:t>
      </w:r>
      <w:r w:rsidR="00CA2863">
        <w:rPr>
          <w:rFonts w:ascii="Times New Roman" w:hAnsi="Times New Roman" w:cs="Times New Roman"/>
        </w:rPr>
        <w:t xml:space="preserve">of </w:t>
      </w:r>
      <w:r w:rsidR="008431EB">
        <w:rPr>
          <w:rFonts w:ascii="Times New Roman" w:hAnsi="Times New Roman" w:cs="Times New Roman"/>
        </w:rPr>
        <w:t>the unused capacity that was allocated to</w:t>
      </w:r>
      <w:r w:rsidR="001279E0">
        <w:rPr>
          <w:rFonts w:ascii="Times New Roman" w:hAnsi="Times New Roman" w:cs="Times New Roman"/>
        </w:rPr>
        <w:t xml:space="preserve"> the Technology Diversity </w:t>
      </w:r>
      <w:r w:rsidR="00FA29CE">
        <w:rPr>
          <w:rFonts w:ascii="Times New Roman" w:hAnsi="Times New Roman" w:cs="Times New Roman"/>
        </w:rPr>
        <w:t>Developer B</w:t>
      </w:r>
      <w:r w:rsidR="008431EB">
        <w:rPr>
          <w:rFonts w:ascii="Times New Roman" w:hAnsi="Times New Roman" w:cs="Times New Roman"/>
        </w:rPr>
        <w:t>lock</w:t>
      </w:r>
      <w:r w:rsidR="00257D8F">
        <w:rPr>
          <w:rFonts w:ascii="Times New Roman" w:hAnsi="Times New Roman" w:cs="Times New Roman"/>
        </w:rPr>
        <w:t>, including</w:t>
      </w:r>
      <w:r w:rsidR="008431EB">
        <w:rPr>
          <w:rFonts w:ascii="Times New Roman" w:hAnsi="Times New Roman" w:cs="Times New Roman"/>
        </w:rPr>
        <w:t xml:space="preserve"> the 2.2 MW initial capacity</w:t>
      </w:r>
      <w:r w:rsidR="00BF2B13">
        <w:rPr>
          <w:rFonts w:ascii="Times New Roman" w:hAnsi="Times New Roman" w:cs="Times New Roman"/>
        </w:rPr>
        <w:t>,</w:t>
      </w:r>
      <w:r w:rsidR="00A6108B">
        <w:rPr>
          <w:rFonts w:ascii="Times New Roman" w:hAnsi="Times New Roman" w:cs="Times New Roman"/>
        </w:rPr>
        <w:t xml:space="preserve"> will be made available to </w:t>
      </w:r>
      <w:r w:rsidR="003B2052">
        <w:rPr>
          <w:rFonts w:ascii="Times New Roman" w:hAnsi="Times New Roman" w:cs="Times New Roman"/>
        </w:rPr>
        <w:t xml:space="preserve">the Price-Competitive </w:t>
      </w:r>
      <w:r w:rsidR="00FA29CE">
        <w:rPr>
          <w:rFonts w:ascii="Times New Roman" w:hAnsi="Times New Roman" w:cs="Times New Roman"/>
        </w:rPr>
        <w:t>Developer Block</w:t>
      </w:r>
      <w:r w:rsidR="008431EB">
        <w:rPr>
          <w:rFonts w:ascii="Times New Roman" w:hAnsi="Times New Roman" w:cs="Times New Roman"/>
        </w:rPr>
        <w:t>.  All</w:t>
      </w:r>
      <w:r w:rsidR="00BF2B13">
        <w:rPr>
          <w:rFonts w:ascii="Times New Roman" w:hAnsi="Times New Roman" w:cs="Times New Roman"/>
        </w:rPr>
        <w:t xml:space="preserve"> remaining unselected developer bids </w:t>
      </w:r>
      <w:r w:rsidR="00BF0B82" w:rsidRPr="00BF0B82">
        <w:rPr>
          <w:rFonts w:ascii="Times New Roman" w:hAnsi="Times New Roman" w:cs="Times New Roman"/>
        </w:rPr>
        <w:t>will be ranked based on the levelized price offered, ordered from lowest to highest.</w:t>
      </w:r>
      <w:r w:rsidR="00AA6C73">
        <w:rPr>
          <w:rFonts w:ascii="Times New Roman" w:hAnsi="Times New Roman" w:cs="Times New Roman"/>
        </w:rPr>
        <w:t xml:space="preserve">  Standard-offer contracts will</w:t>
      </w:r>
      <w:r w:rsidR="00BF0B82" w:rsidRPr="00BF0B82">
        <w:rPr>
          <w:rFonts w:ascii="Times New Roman" w:hAnsi="Times New Roman" w:cs="Times New Roman"/>
        </w:rPr>
        <w:t xml:space="preserve"> be offered to those proposals with the lowest prices until the remaining annual </w:t>
      </w:r>
      <w:r w:rsidR="00FA29CE">
        <w:rPr>
          <w:rFonts w:ascii="Times New Roman" w:hAnsi="Times New Roman" w:cs="Times New Roman"/>
        </w:rPr>
        <w:t xml:space="preserve">capacity cap for the </w:t>
      </w:r>
      <w:r w:rsidR="003B2052">
        <w:rPr>
          <w:rFonts w:ascii="Times New Roman" w:hAnsi="Times New Roman" w:cs="Times New Roman"/>
        </w:rPr>
        <w:t>Price-Competitive D</w:t>
      </w:r>
      <w:r w:rsidR="00FA29CE">
        <w:rPr>
          <w:rFonts w:ascii="Times New Roman" w:hAnsi="Times New Roman" w:cs="Times New Roman"/>
        </w:rPr>
        <w:t>eveloper B</w:t>
      </w:r>
      <w:r w:rsidR="00BF0B82" w:rsidRPr="00BF0B82">
        <w:rPr>
          <w:rFonts w:ascii="Times New Roman" w:hAnsi="Times New Roman" w:cs="Times New Roman"/>
        </w:rPr>
        <w:t xml:space="preserve">lock has been filled.  Once the annual capacity cap is approached but not exceeded, the proposal that would cause the size of the award group to exceed the annual capacity cap by no more than 2.2 MW </w:t>
      </w:r>
      <w:r w:rsidR="00BF0B82" w:rsidRPr="00BF0B82">
        <w:rPr>
          <w:rFonts w:ascii="Times New Roman" w:hAnsi="Times New Roman" w:cs="Times New Roman"/>
          <w:b/>
        </w:rPr>
        <w:t xml:space="preserve">will </w:t>
      </w:r>
      <w:r w:rsidR="00BF0B82" w:rsidRPr="00BF0B82">
        <w:rPr>
          <w:rFonts w:ascii="Times New Roman" w:hAnsi="Times New Roman" w:cs="Times New Roman"/>
        </w:rPr>
        <w:t xml:space="preserve">be included in the award group.  </w:t>
      </w:r>
    </w:p>
    <w:p w:rsidR="003B2052" w:rsidRDefault="003B2052" w:rsidP="00F330A1">
      <w:pPr>
        <w:pStyle w:val="Heading2"/>
        <w:spacing w:before="240" w:after="120" w:line="240" w:lineRule="auto"/>
        <w:rPr>
          <w:rFonts w:ascii="Times New Roman" w:hAnsi="Times New Roman" w:cs="Times New Roman"/>
        </w:rPr>
      </w:pPr>
      <w:bookmarkStart w:id="39" w:name="_Toc509494730"/>
      <w:r>
        <w:rPr>
          <w:rFonts w:ascii="Times New Roman" w:hAnsi="Times New Roman" w:cs="Times New Roman"/>
        </w:rPr>
        <w:lastRenderedPageBreak/>
        <w:t>3.</w:t>
      </w:r>
      <w:r w:rsidR="00F47616">
        <w:rPr>
          <w:rFonts w:ascii="Times New Roman" w:hAnsi="Times New Roman" w:cs="Times New Roman"/>
        </w:rPr>
        <w:t>3.2</w:t>
      </w:r>
      <w:r w:rsidR="00AE1147">
        <w:rPr>
          <w:rFonts w:ascii="Times New Roman" w:hAnsi="Times New Roman" w:cs="Times New Roman"/>
        </w:rPr>
        <w:t xml:space="preserve"> </w:t>
      </w:r>
      <w:r>
        <w:rPr>
          <w:rFonts w:ascii="Times New Roman" w:hAnsi="Times New Roman" w:cs="Times New Roman"/>
        </w:rPr>
        <w:t>Reserve Group</w:t>
      </w:r>
      <w:bookmarkEnd w:id="39"/>
    </w:p>
    <w:p w:rsidR="00BF0B82" w:rsidRPr="00BF0B82" w:rsidRDefault="00BF0B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BF0B82">
        <w:rPr>
          <w:rFonts w:ascii="Times New Roman" w:hAnsi="Times New Roman" w:cs="Times New Roman"/>
        </w:rPr>
        <w:t xml:space="preserve">If a project fails to execute the standard-offer contract within </w:t>
      </w:r>
      <w:r w:rsidR="001759E5">
        <w:rPr>
          <w:rFonts w:ascii="Times New Roman" w:hAnsi="Times New Roman" w:cs="Times New Roman"/>
        </w:rPr>
        <w:t>30 business</w:t>
      </w:r>
      <w:r w:rsidRPr="00BF0B82">
        <w:rPr>
          <w:rFonts w:ascii="Times New Roman" w:hAnsi="Times New Roman" w:cs="Times New Roman"/>
        </w:rPr>
        <w:t xml:space="preserve"> days and the award group does not already exceed the annual capacity cap without that project</w:t>
      </w:r>
      <w:r w:rsidR="00F330A1">
        <w:rPr>
          <w:rFonts w:ascii="Times New Roman" w:hAnsi="Times New Roman" w:cs="Times New Roman"/>
        </w:rPr>
        <w:t xml:space="preserve">, VEPP </w:t>
      </w:r>
      <w:r w:rsidR="00CA2863">
        <w:rPr>
          <w:rFonts w:ascii="Times New Roman" w:hAnsi="Times New Roman" w:cs="Times New Roman"/>
        </w:rPr>
        <w:t>will offer contract</w:t>
      </w:r>
      <w:r w:rsidRPr="00BF0B82">
        <w:rPr>
          <w:rFonts w:ascii="Times New Roman" w:hAnsi="Times New Roman" w:cs="Times New Roman"/>
        </w:rPr>
        <w:t>s</w:t>
      </w:r>
      <w:r w:rsidR="00CA2863">
        <w:rPr>
          <w:rFonts w:ascii="Times New Roman" w:hAnsi="Times New Roman" w:cs="Times New Roman"/>
        </w:rPr>
        <w:t xml:space="preserve"> to proposal</w:t>
      </w:r>
      <w:r w:rsidRPr="00BF0B82">
        <w:rPr>
          <w:rFonts w:ascii="Times New Roman" w:hAnsi="Times New Roman" w:cs="Times New Roman"/>
        </w:rPr>
        <w:t>s with the lowest price of offered capacity that would not cause the annual ca</w:t>
      </w:r>
      <w:r w:rsidR="00A6108B">
        <w:rPr>
          <w:rFonts w:ascii="Times New Roman" w:hAnsi="Times New Roman" w:cs="Times New Roman"/>
        </w:rPr>
        <w:t xml:space="preserve">pacity cap to be exceeded by </w:t>
      </w:r>
      <w:r w:rsidRPr="00BF0B82">
        <w:rPr>
          <w:rFonts w:ascii="Times New Roman" w:hAnsi="Times New Roman" w:cs="Times New Roman"/>
        </w:rPr>
        <w:t xml:space="preserve">more than 2.2 MW.  </w:t>
      </w:r>
    </w:p>
    <w:p w:rsidR="00BF0B82" w:rsidRPr="00BF0B82" w:rsidRDefault="00F330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 xml:space="preserve">VEPP </w:t>
      </w:r>
      <w:r w:rsidR="00BF0B82" w:rsidRPr="00BF0B82">
        <w:rPr>
          <w:rFonts w:ascii="Times New Roman" w:hAnsi="Times New Roman" w:cs="Times New Roman"/>
        </w:rPr>
        <w:t>will then establish a reser</w:t>
      </w:r>
      <w:r w:rsidR="00257D8F">
        <w:rPr>
          <w:rFonts w:ascii="Times New Roman" w:hAnsi="Times New Roman" w:cs="Times New Roman"/>
        </w:rPr>
        <w:t>ve comprised of no more than 6.6</w:t>
      </w:r>
      <w:r w:rsidR="00BF0B82" w:rsidRPr="00BF0B82">
        <w:rPr>
          <w:rFonts w:ascii="Times New Roman" w:hAnsi="Times New Roman" w:cs="Times New Roman"/>
        </w:rPr>
        <w:t xml:space="preserve"> MW of proposals with the lowest prices that were not awarded standard-offer contracts.  If a project</w:t>
      </w:r>
      <w:r w:rsidR="00CA2863">
        <w:rPr>
          <w:rFonts w:ascii="Times New Roman" w:hAnsi="Times New Roman" w:cs="Times New Roman"/>
        </w:rPr>
        <w:t xml:space="preserve"> withdraws from the award group</w:t>
      </w:r>
      <w:r w:rsidR="00BF0B82" w:rsidRPr="00BF0B82">
        <w:rPr>
          <w:rFonts w:ascii="Times New Roman" w:hAnsi="Times New Roman" w:cs="Times New Roman"/>
        </w:rPr>
        <w:t xml:space="preserve"> prior to January 1</w:t>
      </w:r>
      <w:r w:rsidR="00BF0B82" w:rsidRPr="00BF0B82">
        <w:rPr>
          <w:rFonts w:ascii="Times New Roman" w:hAnsi="Times New Roman" w:cs="Times New Roman"/>
          <w:vertAlign w:val="superscript"/>
        </w:rPr>
        <w:t>st</w:t>
      </w:r>
      <w:r w:rsidR="00BF0B82" w:rsidRPr="00BF0B82">
        <w:rPr>
          <w:rFonts w:ascii="Times New Roman" w:hAnsi="Times New Roman" w:cs="Times New Roman"/>
        </w:rPr>
        <w:t xml:space="preserve"> of the subsequent year and the award group does not already exceed the annual capacity cap without that project, then a standard-offer contract will be offered to the proposal within the reserve that has the lowest price and that does not excee</w:t>
      </w:r>
      <w:r w:rsidR="00BB0F56">
        <w:rPr>
          <w:rFonts w:ascii="Times New Roman" w:hAnsi="Times New Roman" w:cs="Times New Roman"/>
        </w:rPr>
        <w:t xml:space="preserve">d the annual capacity cap by </w:t>
      </w:r>
      <w:r w:rsidR="00BF0B82" w:rsidRPr="00BF0B82">
        <w:rPr>
          <w:rFonts w:ascii="Times New Roman" w:hAnsi="Times New Roman" w:cs="Times New Roman"/>
        </w:rPr>
        <w:t xml:space="preserve">more than 2.2 MW.  </w:t>
      </w:r>
    </w:p>
    <w:p w:rsidR="00BF0B82" w:rsidRPr="00BF0B82" w:rsidRDefault="00BF0B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BF0B82">
        <w:rPr>
          <w:rFonts w:ascii="Times New Roman" w:hAnsi="Times New Roman" w:cs="Times New Roman"/>
        </w:rPr>
        <w:t>If a project withdraws from the award group after January 1</w:t>
      </w:r>
      <w:r w:rsidRPr="00BF0B82">
        <w:rPr>
          <w:rFonts w:ascii="Times New Roman" w:hAnsi="Times New Roman" w:cs="Times New Roman"/>
          <w:vertAlign w:val="superscript"/>
        </w:rPr>
        <w:t>st</w:t>
      </w:r>
      <w:r w:rsidRPr="00BF0B82">
        <w:rPr>
          <w:rFonts w:ascii="Times New Roman" w:hAnsi="Times New Roman" w:cs="Times New Roman"/>
        </w:rPr>
        <w:t xml:space="preserve"> but before April 1</w:t>
      </w:r>
      <w:r w:rsidRPr="00BF0B82">
        <w:rPr>
          <w:rFonts w:ascii="Times New Roman" w:hAnsi="Times New Roman" w:cs="Times New Roman"/>
          <w:vertAlign w:val="superscript"/>
        </w:rPr>
        <w:t>st</w:t>
      </w:r>
      <w:r w:rsidRPr="00BF0B82">
        <w:rPr>
          <w:rFonts w:ascii="Times New Roman" w:hAnsi="Times New Roman" w:cs="Times New Roman"/>
        </w:rPr>
        <w:t>, then the capacity as</w:t>
      </w:r>
      <w:r w:rsidR="00AA6C73">
        <w:rPr>
          <w:rFonts w:ascii="Times New Roman" w:hAnsi="Times New Roman" w:cs="Times New Roman"/>
        </w:rPr>
        <w:t>sociated with that project will</w:t>
      </w:r>
      <w:r w:rsidRPr="00BF0B82">
        <w:rPr>
          <w:rFonts w:ascii="Times New Roman" w:hAnsi="Times New Roman" w:cs="Times New Roman"/>
        </w:rPr>
        <w:t xml:space="preserve"> be solicited at the next annual RFP.  The withdrawing project would be disqualified from bidding in the next RFP.  The reserve will be discontinued each year after January 1</w:t>
      </w:r>
      <w:r w:rsidRPr="00BF0B82">
        <w:rPr>
          <w:rFonts w:ascii="Times New Roman" w:hAnsi="Times New Roman" w:cs="Times New Roman"/>
          <w:vertAlign w:val="superscript"/>
        </w:rPr>
        <w:t>st</w:t>
      </w:r>
      <w:r w:rsidRPr="00BF0B82">
        <w:rPr>
          <w:rFonts w:ascii="Times New Roman" w:hAnsi="Times New Roman" w:cs="Times New Roman"/>
        </w:rPr>
        <w:t>.  Projects in the discontinued reserve will be allowed to bid in the next annual RFP.</w:t>
      </w:r>
    </w:p>
    <w:p w:rsidR="00BF0B82" w:rsidRPr="00BF0B82" w:rsidRDefault="00BF0B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BF0B82">
        <w:rPr>
          <w:rFonts w:ascii="Times New Roman" w:hAnsi="Times New Roman" w:cs="Times New Roman"/>
        </w:rPr>
        <w:t>A reserve will not be est</w:t>
      </w:r>
      <w:r w:rsidR="00967813">
        <w:rPr>
          <w:rFonts w:ascii="Times New Roman" w:hAnsi="Times New Roman" w:cs="Times New Roman"/>
        </w:rPr>
        <w:t>ablished for proposals for the Provider B</w:t>
      </w:r>
      <w:r w:rsidRPr="00BF0B82">
        <w:rPr>
          <w:rFonts w:ascii="Times New Roman" w:hAnsi="Times New Roman" w:cs="Times New Roman"/>
        </w:rPr>
        <w:t xml:space="preserve">lock.  </w:t>
      </w:r>
    </w:p>
    <w:p w:rsidR="0086338E" w:rsidRPr="008431EB" w:rsidRDefault="00E85F39" w:rsidP="00F330A1">
      <w:pPr>
        <w:pStyle w:val="Heading2"/>
        <w:spacing w:before="240" w:after="120" w:line="240" w:lineRule="auto"/>
        <w:rPr>
          <w:rFonts w:ascii="Times New Roman" w:hAnsi="Times New Roman" w:cs="Times New Roman"/>
        </w:rPr>
      </w:pPr>
      <w:bookmarkStart w:id="40" w:name="_Toc349812094"/>
      <w:bookmarkStart w:id="41" w:name="_Toc509494731"/>
      <w:bookmarkEnd w:id="38"/>
      <w:r w:rsidRPr="008431EB">
        <w:rPr>
          <w:rFonts w:ascii="Times New Roman" w:hAnsi="Times New Roman" w:cs="Times New Roman"/>
        </w:rPr>
        <w:t>3.</w:t>
      </w:r>
      <w:r w:rsidR="00F47616" w:rsidRPr="008431EB">
        <w:rPr>
          <w:rFonts w:ascii="Times New Roman" w:hAnsi="Times New Roman" w:cs="Times New Roman"/>
        </w:rPr>
        <w:t>3.3</w:t>
      </w:r>
      <w:r w:rsidR="00AE1147">
        <w:rPr>
          <w:rFonts w:ascii="Times New Roman" w:hAnsi="Times New Roman" w:cs="Times New Roman"/>
        </w:rPr>
        <w:t xml:space="preserve"> </w:t>
      </w:r>
      <w:r w:rsidR="0086338E" w:rsidRPr="008431EB">
        <w:rPr>
          <w:rFonts w:ascii="Times New Roman" w:hAnsi="Times New Roman" w:cs="Times New Roman"/>
        </w:rPr>
        <w:t>Proposal Pricing</w:t>
      </w:r>
      <w:bookmarkEnd w:id="40"/>
      <w:bookmarkEnd w:id="41"/>
    </w:p>
    <w:p w:rsidR="00DD1872"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6338E">
        <w:rPr>
          <w:rFonts w:ascii="Times New Roman" w:hAnsi="Times New Roman" w:cs="Times New Roman"/>
        </w:rPr>
        <w:t>Proponents should present prices to four decimal places</w:t>
      </w:r>
      <w:r w:rsidR="00E85F39">
        <w:rPr>
          <w:rFonts w:ascii="Times New Roman" w:hAnsi="Times New Roman" w:cs="Times New Roman"/>
        </w:rPr>
        <w:t xml:space="preserve"> in $/kWh</w:t>
      </w:r>
      <w:r w:rsidRPr="0086338E">
        <w:rPr>
          <w:rFonts w:ascii="Times New Roman" w:hAnsi="Times New Roman" w:cs="Times New Roman"/>
        </w:rPr>
        <w:t xml:space="preserve">.  </w:t>
      </w:r>
    </w:p>
    <w:p w:rsidR="00B16370" w:rsidRDefault="00B16370" w:rsidP="00B16370">
      <w:pPr>
        <w:autoSpaceDE w:val="0"/>
        <w:autoSpaceDN w:val="0"/>
        <w:adjustRightInd w:val="0"/>
        <w:spacing w:after="0"/>
        <w:rPr>
          <w:rFonts w:ascii="Times New Roman" w:eastAsia="Times New Roman" w:hAnsi="Times New Roman" w:cs="Times New Roman"/>
          <w:sz w:val="20"/>
          <w:szCs w:val="20"/>
        </w:rPr>
      </w:pPr>
      <w:r w:rsidRPr="0086338E">
        <w:rPr>
          <w:rFonts w:ascii="Times New Roman" w:hAnsi="Times New Roman" w:cs="Times New Roman"/>
        </w:rPr>
        <w:t>If there</w:t>
      </w:r>
      <w:r>
        <w:rPr>
          <w:rFonts w:ascii="Times New Roman" w:hAnsi="Times New Roman" w:cs="Times New Roman"/>
        </w:rPr>
        <w:t xml:space="preserve"> is a tie in the prices of two proposals and both p</w:t>
      </w:r>
      <w:r w:rsidRPr="0086338E">
        <w:rPr>
          <w:rFonts w:ascii="Times New Roman" w:hAnsi="Times New Roman" w:cs="Times New Roman"/>
        </w:rPr>
        <w:t>roposals cannot be accommodated with</w:t>
      </w:r>
      <w:r>
        <w:rPr>
          <w:rFonts w:ascii="Times New Roman" w:hAnsi="Times New Roman" w:cs="Times New Roman"/>
        </w:rPr>
        <w:t>in the award group, then the p</w:t>
      </w:r>
      <w:r w:rsidRPr="0086338E">
        <w:rPr>
          <w:rFonts w:ascii="Times New Roman" w:hAnsi="Times New Roman" w:cs="Times New Roman"/>
        </w:rPr>
        <w:t>roposal to be awarded the standard-offer contract will be randomly selected.</w:t>
      </w:r>
    </w:p>
    <w:p w:rsidR="00B16370" w:rsidRPr="00B16370" w:rsidRDefault="00B16370" w:rsidP="00B16370">
      <w:pPr>
        <w:autoSpaceDE w:val="0"/>
        <w:autoSpaceDN w:val="0"/>
        <w:adjustRightInd w:val="0"/>
        <w:spacing w:after="0"/>
        <w:rPr>
          <w:rFonts w:ascii="Times New Roman" w:eastAsia="Times New Roman" w:hAnsi="Times New Roman" w:cs="Times New Roman"/>
          <w:sz w:val="20"/>
          <w:szCs w:val="20"/>
        </w:rPr>
      </w:pPr>
    </w:p>
    <w:p w:rsidR="00DD1872" w:rsidRDefault="000B6735" w:rsidP="00F435BB">
      <w:pPr>
        <w:autoSpaceDE w:val="0"/>
        <w:autoSpaceDN w:val="0"/>
        <w:adjustRightInd w:val="0"/>
        <w:spacing w:after="0"/>
        <w:rPr>
          <w:rFonts w:ascii="Times New Roman" w:hAnsi="Times New Roman" w:cs="Times New Roman"/>
        </w:rPr>
      </w:pPr>
      <w:r>
        <w:rPr>
          <w:rFonts w:ascii="Times New Roman" w:hAnsi="Times New Roman" w:cs="Times New Roman"/>
        </w:rPr>
        <w:t>For the contract period, p</w:t>
      </w:r>
      <w:r w:rsidR="00DD1872" w:rsidRPr="00DD1872">
        <w:rPr>
          <w:rFonts w:ascii="Times New Roman" w:hAnsi="Times New Roman" w:cs="Times New Roman"/>
        </w:rPr>
        <w:t xml:space="preserve">roponents may offer a price schedule </w:t>
      </w:r>
      <w:r>
        <w:rPr>
          <w:rFonts w:ascii="Times New Roman" w:hAnsi="Times New Roman" w:cs="Times New Roman"/>
        </w:rPr>
        <w:t xml:space="preserve">for biomass and landfill gas projects and a </w:t>
      </w:r>
      <w:r w:rsidR="00DD1872" w:rsidRPr="00DD1872">
        <w:rPr>
          <w:rFonts w:ascii="Times New Roman" w:hAnsi="Times New Roman" w:cs="Times New Roman"/>
        </w:rPr>
        <w:t xml:space="preserve">single </w:t>
      </w:r>
      <w:r>
        <w:rPr>
          <w:rFonts w:ascii="Times New Roman" w:hAnsi="Times New Roman" w:cs="Times New Roman"/>
        </w:rPr>
        <w:t>fixed price for solar photovoltaic, hydroelectric,</w:t>
      </w:r>
      <w:r w:rsidRPr="00DD1872">
        <w:rPr>
          <w:rFonts w:ascii="Times New Roman" w:hAnsi="Times New Roman" w:cs="Times New Roman"/>
        </w:rPr>
        <w:t xml:space="preserve"> </w:t>
      </w:r>
      <w:r>
        <w:rPr>
          <w:rFonts w:ascii="Times New Roman" w:hAnsi="Times New Roman" w:cs="Times New Roman"/>
        </w:rPr>
        <w:t xml:space="preserve">wind, and food waste anaerobic digestion </w:t>
      </w:r>
      <w:r w:rsidRPr="00DD1872">
        <w:rPr>
          <w:rFonts w:ascii="Times New Roman" w:hAnsi="Times New Roman" w:cs="Times New Roman"/>
        </w:rPr>
        <w:t>projects</w:t>
      </w:r>
      <w:r w:rsidR="00DD1872" w:rsidRPr="00DD1872">
        <w:rPr>
          <w:rFonts w:ascii="Times New Roman" w:hAnsi="Times New Roman" w:cs="Times New Roman"/>
        </w:rPr>
        <w:t xml:space="preserve">.  The offered price schedule </w:t>
      </w:r>
      <w:r>
        <w:rPr>
          <w:rFonts w:ascii="Times New Roman" w:hAnsi="Times New Roman" w:cs="Times New Roman"/>
        </w:rPr>
        <w:t xml:space="preserve">or fixed price </w:t>
      </w:r>
      <w:r w:rsidR="00DD1872" w:rsidRPr="00DD1872">
        <w:rPr>
          <w:rFonts w:ascii="Times New Roman" w:hAnsi="Times New Roman" w:cs="Times New Roman"/>
        </w:rPr>
        <w:t xml:space="preserve">should be consistent with the methodology used to set the avoided costs that serve as </w:t>
      </w:r>
      <w:r>
        <w:rPr>
          <w:rFonts w:ascii="Times New Roman" w:hAnsi="Times New Roman" w:cs="Times New Roman"/>
        </w:rPr>
        <w:t>price caps solicited through</w:t>
      </w:r>
      <w:r w:rsidR="00A83AF6">
        <w:rPr>
          <w:rFonts w:ascii="Times New Roman" w:hAnsi="Times New Roman" w:cs="Times New Roman"/>
        </w:rPr>
        <w:t xml:space="preserve"> the RFP (avoided-cost price caps in Section 3.3.4</w:t>
      </w:r>
      <w:r>
        <w:rPr>
          <w:rFonts w:ascii="Times New Roman" w:hAnsi="Times New Roman" w:cs="Times New Roman"/>
        </w:rPr>
        <w:t xml:space="preserve">).  For biomass and landfill gas </w:t>
      </w:r>
      <w:r w:rsidR="00DD1872" w:rsidRPr="00DD1872">
        <w:rPr>
          <w:rFonts w:ascii="Times New Roman" w:hAnsi="Times New Roman" w:cs="Times New Roman"/>
        </w:rPr>
        <w:t xml:space="preserve">projects, the offered prices may escalate </w:t>
      </w:r>
      <w:r w:rsidR="00BB0F56">
        <w:rPr>
          <w:rFonts w:ascii="Times New Roman" w:hAnsi="Times New Roman" w:cs="Times New Roman"/>
        </w:rPr>
        <w:t xml:space="preserve">30% of the project’s cost </w:t>
      </w:r>
      <w:r w:rsidR="00DD1872" w:rsidRPr="00DD1872">
        <w:rPr>
          <w:rFonts w:ascii="Times New Roman" w:hAnsi="Times New Roman" w:cs="Times New Roman"/>
        </w:rPr>
        <w:t>over the term of the contract to reflect inflation (not greater than</w:t>
      </w:r>
      <w:r w:rsidR="00DD1872">
        <w:t xml:space="preserve"> </w:t>
      </w:r>
      <w:r w:rsidR="00BF0B82">
        <w:rPr>
          <w:rFonts w:ascii="Times New Roman" w:hAnsi="Times New Roman" w:cs="Times New Roman"/>
        </w:rPr>
        <w:t>1.8</w:t>
      </w:r>
      <w:r w:rsidR="00BB0F56">
        <w:rPr>
          <w:rFonts w:ascii="Times New Roman" w:hAnsi="Times New Roman" w:cs="Times New Roman"/>
        </w:rPr>
        <w:t xml:space="preserve">%), and </w:t>
      </w:r>
      <w:r w:rsidR="00DD1872" w:rsidRPr="00DD1872">
        <w:rPr>
          <w:rFonts w:ascii="Times New Roman" w:hAnsi="Times New Roman" w:cs="Times New Roman"/>
        </w:rPr>
        <w:t>cannot be front-loaded and decrease o</w:t>
      </w:r>
      <w:r w:rsidR="00BB0F56">
        <w:rPr>
          <w:rFonts w:ascii="Times New Roman" w:hAnsi="Times New Roman" w:cs="Times New Roman"/>
        </w:rPr>
        <w:t>ver the term of the contract</w:t>
      </w:r>
      <w:r w:rsidR="00DD1872" w:rsidRPr="00DD1872">
        <w:rPr>
          <w:rFonts w:ascii="Times New Roman" w:hAnsi="Times New Roman" w:cs="Times New Roman"/>
        </w:rPr>
        <w:t>.  Under the RFP selection process, the projects will be ranked according to the levelized price.</w:t>
      </w:r>
    </w:p>
    <w:p w:rsidR="00DD1872" w:rsidRPr="00DD1872" w:rsidRDefault="00DD1872">
      <w:pPr>
        <w:autoSpaceDE w:val="0"/>
        <w:autoSpaceDN w:val="0"/>
        <w:adjustRightInd w:val="0"/>
        <w:spacing w:after="0"/>
        <w:rPr>
          <w:rFonts w:ascii="Times New Roman" w:hAnsi="Times New Roman" w:cs="Times New Roman"/>
        </w:rPr>
      </w:pPr>
    </w:p>
    <w:p w:rsidR="00DD1872" w:rsidRPr="00DD1872" w:rsidRDefault="00DD1872">
      <w:pPr>
        <w:autoSpaceDE w:val="0"/>
        <w:autoSpaceDN w:val="0"/>
        <w:adjustRightInd w:val="0"/>
        <w:spacing w:after="0"/>
        <w:rPr>
          <w:rFonts w:ascii="Times New Roman" w:hAnsi="Times New Roman" w:cs="Times New Roman"/>
        </w:rPr>
      </w:pPr>
      <w:r w:rsidRPr="00DD1872">
        <w:rPr>
          <w:rFonts w:ascii="Times New Roman" w:hAnsi="Times New Roman" w:cs="Times New Roman"/>
        </w:rPr>
        <w:t>The levelized price will be calculated usin</w:t>
      </w:r>
      <w:r w:rsidRPr="005E175E">
        <w:rPr>
          <w:rFonts w:ascii="Times New Roman" w:hAnsi="Times New Roman" w:cs="Times New Roman"/>
        </w:rPr>
        <w:t xml:space="preserve">g an </w:t>
      </w:r>
      <w:r w:rsidRPr="00F77DAC">
        <w:rPr>
          <w:rFonts w:ascii="Times New Roman" w:hAnsi="Times New Roman" w:cs="Times New Roman"/>
        </w:rPr>
        <w:t>Excel spreadsheet</w:t>
      </w:r>
      <w:r w:rsidRPr="005E175E">
        <w:rPr>
          <w:rFonts w:ascii="Times New Roman" w:hAnsi="Times New Roman" w:cs="Times New Roman"/>
        </w:rPr>
        <w:t>.</w:t>
      </w:r>
      <w:r w:rsidR="00CD7FA2" w:rsidRPr="005E175E">
        <w:rPr>
          <w:rStyle w:val="FootnoteReference"/>
          <w:rFonts w:ascii="Times New Roman" w:hAnsi="Times New Roman"/>
        </w:rPr>
        <w:footnoteReference w:id="6"/>
      </w:r>
      <w:r w:rsidR="00CD7FA2" w:rsidRPr="005E175E">
        <w:rPr>
          <w:rStyle w:val="FootnoteReference"/>
          <w:rFonts w:ascii="Times New Roman" w:hAnsi="Times New Roman"/>
        </w:rPr>
        <w:t xml:space="preserve"> </w:t>
      </w:r>
      <w:r w:rsidR="00CD7FA2" w:rsidRPr="005E175E">
        <w:rPr>
          <w:rFonts w:ascii="Times New Roman" w:hAnsi="Times New Roman" w:cs="Times New Roman"/>
        </w:rPr>
        <w:t xml:space="preserve"> </w:t>
      </w:r>
      <w:r w:rsidRPr="005E175E">
        <w:rPr>
          <w:rFonts w:ascii="Times New Roman" w:hAnsi="Times New Roman" w:cs="Times New Roman"/>
        </w:rPr>
        <w:t>The</w:t>
      </w:r>
      <w:r w:rsidRPr="00DD1872">
        <w:rPr>
          <w:rFonts w:ascii="Times New Roman" w:hAnsi="Times New Roman" w:cs="Times New Roman"/>
        </w:rPr>
        <w:t xml:space="preserve"> formula for calculating the levelized price determines what annual payment would be required over the contract term if invested at the assumed weighted average cost of capital to produce the same net present value as the contract prices </w:t>
      </w:r>
      <w:r w:rsidR="00EA06BA">
        <w:rPr>
          <w:rFonts w:ascii="Times New Roman" w:hAnsi="Times New Roman" w:cs="Times New Roman"/>
        </w:rPr>
        <w:t xml:space="preserve">would </w:t>
      </w:r>
      <w:r w:rsidRPr="00DD1872">
        <w:rPr>
          <w:rFonts w:ascii="Times New Roman" w:hAnsi="Times New Roman" w:cs="Times New Roman"/>
        </w:rPr>
        <w:t xml:space="preserve">realize over the contract term discounted by the weighted average cost of capital.  </w:t>
      </w:r>
    </w:p>
    <w:p w:rsidR="00DD1872" w:rsidRPr="00DD1872" w:rsidRDefault="00DD1872">
      <w:pPr>
        <w:autoSpaceDE w:val="0"/>
        <w:autoSpaceDN w:val="0"/>
        <w:adjustRightInd w:val="0"/>
        <w:spacing w:after="0"/>
        <w:rPr>
          <w:rFonts w:ascii="Times New Roman" w:hAnsi="Times New Roman" w:cs="Times New Roman"/>
        </w:rPr>
      </w:pPr>
    </w:p>
    <w:p w:rsidR="00B16370" w:rsidRPr="00DD1872" w:rsidRDefault="00B16370">
      <w:pPr>
        <w:autoSpaceDE w:val="0"/>
        <w:autoSpaceDN w:val="0"/>
        <w:adjustRightInd w:val="0"/>
        <w:spacing w:after="0"/>
        <w:rPr>
          <w:rFonts w:ascii="Times New Roman" w:hAnsi="Times New Roman" w:cs="Times New Roman"/>
        </w:rPr>
      </w:pPr>
      <w:r>
        <w:rPr>
          <w:rFonts w:ascii="Times New Roman" w:hAnsi="Times New Roman" w:cs="Times New Roman"/>
        </w:rPr>
        <w:t>In the provided spreadsheet, t</w:t>
      </w:r>
      <w:r w:rsidR="00DD1872" w:rsidRPr="00DD1872">
        <w:rPr>
          <w:rFonts w:ascii="Times New Roman" w:hAnsi="Times New Roman" w:cs="Times New Roman"/>
        </w:rPr>
        <w:t>he weighted av</w:t>
      </w:r>
      <w:r w:rsidR="001655BB">
        <w:rPr>
          <w:rFonts w:ascii="Times New Roman" w:hAnsi="Times New Roman" w:cs="Times New Roman"/>
        </w:rPr>
        <w:t xml:space="preserve">erage cost of capital </w:t>
      </w:r>
      <w:r w:rsidR="00DD1872" w:rsidRPr="00DD1872">
        <w:rPr>
          <w:rFonts w:ascii="Times New Roman" w:hAnsi="Times New Roman" w:cs="Times New Roman"/>
        </w:rPr>
        <w:t xml:space="preserve">is based on the assumed cost of debt and equity and the debt/equity ratio.  The after-tax </w:t>
      </w:r>
      <w:r w:rsidR="001655BB">
        <w:rPr>
          <w:rFonts w:ascii="Times New Roman" w:hAnsi="Times New Roman" w:cs="Times New Roman"/>
        </w:rPr>
        <w:t xml:space="preserve">return on equity </w:t>
      </w:r>
      <w:r w:rsidR="00BF0B82">
        <w:rPr>
          <w:rFonts w:ascii="Times New Roman" w:hAnsi="Times New Roman" w:cs="Times New Roman"/>
        </w:rPr>
        <w:t>is 9.60</w:t>
      </w:r>
      <w:r w:rsidR="00DD1872" w:rsidRPr="00DD1872">
        <w:rPr>
          <w:rFonts w:ascii="Times New Roman" w:hAnsi="Times New Roman" w:cs="Times New Roman"/>
        </w:rPr>
        <w:t>%, which was used to calculate avoided costs for</w:t>
      </w:r>
      <w:r w:rsidR="00A83AF6">
        <w:rPr>
          <w:rFonts w:ascii="Times New Roman" w:hAnsi="Times New Roman" w:cs="Times New Roman"/>
        </w:rPr>
        <w:t xml:space="preserve"> </w:t>
      </w:r>
      <w:r w:rsidR="00005164">
        <w:rPr>
          <w:rFonts w:ascii="Times New Roman" w:hAnsi="Times New Roman" w:cs="Times New Roman"/>
        </w:rPr>
        <w:t>biomass</w:t>
      </w:r>
      <w:r w:rsidR="001655BB">
        <w:rPr>
          <w:rFonts w:ascii="Times New Roman" w:hAnsi="Times New Roman" w:cs="Times New Roman"/>
        </w:rPr>
        <w:t xml:space="preserve">.  </w:t>
      </w:r>
      <w:r w:rsidR="00DD1872" w:rsidRPr="00DD1872">
        <w:rPr>
          <w:rFonts w:ascii="Times New Roman" w:hAnsi="Times New Roman" w:cs="Times New Roman"/>
        </w:rPr>
        <w:t xml:space="preserve">The </w:t>
      </w:r>
      <w:r w:rsidR="001655BB">
        <w:rPr>
          <w:rFonts w:ascii="Times New Roman" w:hAnsi="Times New Roman" w:cs="Times New Roman"/>
        </w:rPr>
        <w:t xml:space="preserve">debt/equity ratio, </w:t>
      </w:r>
      <w:r w:rsidR="00BF0B82">
        <w:rPr>
          <w:rFonts w:ascii="Times New Roman" w:hAnsi="Times New Roman" w:cs="Times New Roman"/>
        </w:rPr>
        <w:t>the cost of debt</w:t>
      </w:r>
      <w:r w:rsidR="001655BB">
        <w:rPr>
          <w:rFonts w:ascii="Times New Roman" w:hAnsi="Times New Roman" w:cs="Times New Roman"/>
        </w:rPr>
        <w:t xml:space="preserve">, and the weighted average cost of </w:t>
      </w:r>
      <w:r w:rsidR="001655BB">
        <w:rPr>
          <w:rFonts w:ascii="Times New Roman" w:hAnsi="Times New Roman" w:cs="Times New Roman"/>
        </w:rPr>
        <w:lastRenderedPageBreak/>
        <w:t>capital</w:t>
      </w:r>
      <w:r w:rsidR="00BF0B82">
        <w:rPr>
          <w:rFonts w:ascii="Times New Roman" w:hAnsi="Times New Roman" w:cs="Times New Roman"/>
        </w:rPr>
        <w:t xml:space="preserve"> are the values used in the cash-flow</w:t>
      </w:r>
      <w:r w:rsidR="001655BB">
        <w:rPr>
          <w:rFonts w:ascii="Times New Roman" w:hAnsi="Times New Roman" w:cs="Times New Roman"/>
        </w:rPr>
        <w:t xml:space="preserve"> analysis</w:t>
      </w:r>
      <w:r w:rsidR="00DD1872" w:rsidRPr="00DD1872">
        <w:rPr>
          <w:rFonts w:ascii="Times New Roman" w:hAnsi="Times New Roman" w:cs="Times New Roman"/>
        </w:rPr>
        <w:t xml:space="preserve"> to calculate avoided costs for eac</w:t>
      </w:r>
      <w:r w:rsidR="00BF0B82">
        <w:rPr>
          <w:rFonts w:ascii="Times New Roman" w:hAnsi="Times New Roman" w:cs="Times New Roman"/>
        </w:rPr>
        <w:t>h technology</w:t>
      </w:r>
      <w:r w:rsidR="001655BB">
        <w:rPr>
          <w:rFonts w:ascii="Times New Roman" w:hAnsi="Times New Roman" w:cs="Times New Roman"/>
        </w:rPr>
        <w:t xml:space="preserve">.  Using the cash-flow analysis, the weighted average cost of capital for biomass is 12.59%, </w:t>
      </w:r>
    </w:p>
    <w:p w:rsidR="003A4597" w:rsidRPr="003A4597" w:rsidRDefault="00CA2863" w:rsidP="00E943C6">
      <w:pPr>
        <w:autoSpaceDE w:val="0"/>
        <w:autoSpaceDN w:val="0"/>
        <w:adjustRightInd w:val="0"/>
        <w:spacing w:before="120" w:after="12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Formula in Excel:  = </w:t>
      </w:r>
      <w:r w:rsidR="003A4597" w:rsidRPr="003A4597">
        <w:rPr>
          <w:rFonts w:ascii="Times New Roman" w:eastAsia="Times New Roman" w:hAnsi="Times New Roman" w:cs="Times New Roman"/>
          <w:sz w:val="20"/>
          <w:szCs w:val="20"/>
        </w:rPr>
        <w:t>PMT(WACOC, Contract Term,+NPV(WACOC, Contract Prices))</w:t>
      </w:r>
    </w:p>
    <w:p w:rsidR="003A4597" w:rsidRPr="003A4597" w:rsidRDefault="003A4597" w:rsidP="00072FB5">
      <w:pPr>
        <w:autoSpaceDE w:val="0"/>
        <w:autoSpaceDN w:val="0"/>
        <w:adjustRightInd w:val="0"/>
        <w:spacing w:after="0"/>
        <w:ind w:left="720" w:firstLine="720"/>
        <w:rPr>
          <w:rFonts w:ascii="Times New Roman" w:eastAsia="Times New Roman" w:hAnsi="Times New Roman" w:cs="Times New Roman"/>
          <w:sz w:val="20"/>
          <w:szCs w:val="20"/>
        </w:rPr>
      </w:pPr>
      <w:r w:rsidRPr="003A4597">
        <w:rPr>
          <w:rFonts w:ascii="Times New Roman" w:eastAsia="Times New Roman" w:hAnsi="Times New Roman" w:cs="Times New Roman"/>
          <w:sz w:val="20"/>
          <w:szCs w:val="20"/>
        </w:rPr>
        <w:t>Where:</w:t>
      </w:r>
      <w:r w:rsidRPr="003A4597">
        <w:rPr>
          <w:rFonts w:ascii="Times New Roman" w:eastAsia="Times New Roman" w:hAnsi="Times New Roman" w:cs="Times New Roman"/>
          <w:sz w:val="20"/>
          <w:szCs w:val="20"/>
        </w:rPr>
        <w:tab/>
        <w:t>WACOC = Assumed Weighted Average Cost of Capital</w:t>
      </w:r>
    </w:p>
    <w:p w:rsidR="003A4597" w:rsidRPr="003A4597" w:rsidRDefault="003A4597" w:rsidP="00072FB5">
      <w:pPr>
        <w:autoSpaceDE w:val="0"/>
        <w:autoSpaceDN w:val="0"/>
        <w:adjustRightInd w:val="0"/>
        <w:spacing w:after="0"/>
        <w:ind w:left="1440" w:firstLine="720"/>
        <w:rPr>
          <w:rFonts w:ascii="Times New Roman" w:eastAsia="Times New Roman" w:hAnsi="Times New Roman" w:cs="Times New Roman"/>
          <w:sz w:val="20"/>
          <w:szCs w:val="20"/>
        </w:rPr>
      </w:pPr>
      <w:r w:rsidRPr="003A4597">
        <w:rPr>
          <w:rFonts w:ascii="Times New Roman" w:eastAsia="Times New Roman" w:hAnsi="Times New Roman" w:cs="Times New Roman"/>
          <w:sz w:val="20"/>
          <w:szCs w:val="20"/>
        </w:rPr>
        <w:t>Contract Term = 20-Year term of the Contract</w:t>
      </w:r>
    </w:p>
    <w:p w:rsidR="00732C5A" w:rsidRDefault="003A4597" w:rsidP="00764B60">
      <w:pPr>
        <w:autoSpaceDE w:val="0"/>
        <w:autoSpaceDN w:val="0"/>
        <w:adjustRightInd w:val="0"/>
        <w:spacing w:after="0"/>
        <w:ind w:left="1440" w:firstLine="720"/>
        <w:rPr>
          <w:rFonts w:ascii="Times New Roman" w:eastAsia="Times New Roman" w:hAnsi="Times New Roman" w:cs="Times New Roman"/>
          <w:sz w:val="20"/>
          <w:szCs w:val="20"/>
        </w:rPr>
      </w:pPr>
      <w:r w:rsidRPr="003A4597">
        <w:rPr>
          <w:rFonts w:ascii="Times New Roman" w:eastAsia="Times New Roman" w:hAnsi="Times New Roman" w:cs="Times New Roman"/>
          <w:sz w:val="20"/>
          <w:szCs w:val="20"/>
        </w:rPr>
        <w:t xml:space="preserve">Contract Prices = actual contract prices for each year of the </w:t>
      </w:r>
      <w:r w:rsidR="00AA6C73">
        <w:rPr>
          <w:rFonts w:ascii="Times New Roman" w:eastAsia="Times New Roman" w:hAnsi="Times New Roman" w:cs="Times New Roman"/>
          <w:sz w:val="20"/>
          <w:szCs w:val="20"/>
        </w:rPr>
        <w:t>c</w:t>
      </w:r>
      <w:r w:rsidRPr="003A4597">
        <w:rPr>
          <w:rFonts w:ascii="Times New Roman" w:eastAsia="Times New Roman" w:hAnsi="Times New Roman" w:cs="Times New Roman"/>
          <w:sz w:val="20"/>
          <w:szCs w:val="20"/>
        </w:rPr>
        <w:t>ontract</w:t>
      </w:r>
    </w:p>
    <w:p w:rsidR="008D05B0" w:rsidRDefault="008D05B0" w:rsidP="00764B60">
      <w:pPr>
        <w:pStyle w:val="Heading2"/>
        <w:spacing w:before="240" w:after="120" w:line="240" w:lineRule="auto"/>
        <w:rPr>
          <w:rFonts w:ascii="Times New Roman" w:hAnsi="Times New Roman" w:cs="Times New Roman"/>
        </w:rPr>
      </w:pPr>
      <w:bookmarkStart w:id="42" w:name="_Toc509494732"/>
      <w:r>
        <w:rPr>
          <w:rFonts w:ascii="Times New Roman" w:hAnsi="Times New Roman" w:cs="Times New Roman"/>
        </w:rPr>
        <w:t>3.</w:t>
      </w:r>
      <w:r w:rsidR="00C670A6">
        <w:rPr>
          <w:rFonts w:ascii="Times New Roman" w:hAnsi="Times New Roman" w:cs="Times New Roman"/>
        </w:rPr>
        <w:t>3.4</w:t>
      </w:r>
      <w:r w:rsidR="0086338E" w:rsidRPr="0086338E">
        <w:rPr>
          <w:rFonts w:ascii="Times New Roman" w:hAnsi="Times New Roman" w:cs="Times New Roman"/>
        </w:rPr>
        <w:t xml:space="preserve"> Technology-Specific Avoide</w:t>
      </w:r>
      <w:r w:rsidR="00EA06BA">
        <w:rPr>
          <w:rFonts w:ascii="Times New Roman" w:hAnsi="Times New Roman" w:cs="Times New Roman"/>
        </w:rPr>
        <w:t>d-Cost</w:t>
      </w:r>
      <w:r w:rsidR="0086338E" w:rsidRPr="0086338E">
        <w:rPr>
          <w:rFonts w:ascii="Times New Roman" w:hAnsi="Times New Roman" w:cs="Times New Roman"/>
        </w:rPr>
        <w:t xml:space="preserve"> </w:t>
      </w:r>
      <w:r w:rsidR="00EA06BA">
        <w:rPr>
          <w:rFonts w:ascii="Times New Roman" w:hAnsi="Times New Roman" w:cs="Times New Roman"/>
        </w:rPr>
        <w:t>Price Caps</w:t>
      </w:r>
      <w:bookmarkEnd w:id="42"/>
    </w:p>
    <w:p w:rsidR="000B6735" w:rsidRPr="00104D82" w:rsidRDefault="003B2649" w:rsidP="000D5F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rPr>
          <w:rFonts w:ascii="Times New Roman" w:hAnsi="Times New Roman" w:cs="Times New Roman"/>
          <w:bCs/>
        </w:rPr>
      </w:pPr>
      <w:r>
        <w:rPr>
          <w:rFonts w:ascii="Times New Roman" w:hAnsi="Times New Roman" w:cs="Times New Roman"/>
          <w:bCs/>
        </w:rPr>
        <w:t xml:space="preserve">The following avoided </w:t>
      </w:r>
      <w:r w:rsidR="000B6735" w:rsidRPr="00104D82">
        <w:rPr>
          <w:rFonts w:ascii="Times New Roman" w:hAnsi="Times New Roman" w:cs="Times New Roman"/>
          <w:bCs/>
        </w:rPr>
        <w:t xml:space="preserve">costs will </w:t>
      </w:r>
      <w:r w:rsidR="00292789">
        <w:rPr>
          <w:rFonts w:ascii="Times New Roman" w:hAnsi="Times New Roman" w:cs="Times New Roman"/>
          <w:bCs/>
        </w:rPr>
        <w:t>serve as price caps for the 2018</w:t>
      </w:r>
      <w:r w:rsidR="000B6735" w:rsidRPr="00104D82">
        <w:rPr>
          <w:rFonts w:ascii="Times New Roman" w:hAnsi="Times New Roman" w:cs="Times New Roman"/>
          <w:bCs/>
        </w:rPr>
        <w:t xml:space="preserve"> RFP</w:t>
      </w:r>
      <w:r>
        <w:rPr>
          <w:rFonts w:ascii="Times New Roman" w:hAnsi="Times New Roman" w:cs="Times New Roman"/>
          <w:bCs/>
        </w:rPr>
        <w:t xml:space="preserve"> for </w:t>
      </w:r>
      <w:r w:rsidR="00257D8F">
        <w:rPr>
          <w:rFonts w:ascii="Times New Roman" w:hAnsi="Times New Roman" w:cs="Times New Roman"/>
          <w:bCs/>
        </w:rPr>
        <w:t xml:space="preserve">the </w:t>
      </w:r>
      <w:r>
        <w:rPr>
          <w:rFonts w:ascii="Times New Roman" w:hAnsi="Times New Roman" w:cs="Times New Roman"/>
          <w:bCs/>
        </w:rPr>
        <w:t>Provider Block and Developer</w:t>
      </w:r>
      <w:r w:rsidR="00764B60">
        <w:rPr>
          <w:rFonts w:ascii="Times New Roman" w:hAnsi="Times New Roman" w:cs="Times New Roman"/>
          <w:bCs/>
        </w:rPr>
        <w:t xml:space="preserve"> Block</w:t>
      </w:r>
      <w:r w:rsidR="000B6735" w:rsidRPr="00104D82">
        <w:rPr>
          <w:rFonts w:ascii="Times New Roman" w:hAnsi="Times New Roman" w:cs="Times New Roman"/>
          <w:bCs/>
        </w:rPr>
        <w:t>:</w:t>
      </w:r>
    </w:p>
    <w:p w:rsidR="000B6735" w:rsidRPr="00104D82" w:rsidRDefault="00EA06BA" w:rsidP="0076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Biomass: </w:t>
      </w:r>
      <w:r w:rsidR="000B6735" w:rsidRPr="00104D82">
        <w:rPr>
          <w:rFonts w:ascii="Times New Roman" w:hAnsi="Times New Roman" w:cs="Times New Roman"/>
          <w:bCs/>
        </w:rPr>
        <w:t xml:space="preserve"> $0.125 per kWh (levelized over 20 years) </w:t>
      </w:r>
    </w:p>
    <w:p w:rsidR="000B6735" w:rsidRPr="00104D82" w:rsidRDefault="00EA06BA" w:rsidP="0076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Landfill Gas: </w:t>
      </w:r>
      <w:r w:rsidR="000B6735" w:rsidRPr="00104D82">
        <w:rPr>
          <w:rFonts w:ascii="Times New Roman" w:hAnsi="Times New Roman" w:cs="Times New Roman"/>
          <w:bCs/>
        </w:rPr>
        <w:t xml:space="preserve"> </w:t>
      </w:r>
      <w:r w:rsidR="00257D8F">
        <w:rPr>
          <w:rFonts w:ascii="Times New Roman" w:hAnsi="Times New Roman" w:cs="Times New Roman"/>
          <w:bCs/>
        </w:rPr>
        <w:t>$</w:t>
      </w:r>
      <w:r w:rsidR="000B6735" w:rsidRPr="00104D82">
        <w:rPr>
          <w:rFonts w:ascii="Times New Roman" w:hAnsi="Times New Roman" w:cs="Times New Roman"/>
          <w:bCs/>
        </w:rPr>
        <w:t>0.090 per kWh (levelized over 15 years)</w:t>
      </w:r>
    </w:p>
    <w:p w:rsidR="000B6735" w:rsidRPr="00104D82" w:rsidRDefault="00EA06BA" w:rsidP="0076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Wind &gt; 100 kW: </w:t>
      </w:r>
      <w:r w:rsidR="00844F7B">
        <w:rPr>
          <w:rFonts w:ascii="Times New Roman" w:hAnsi="Times New Roman" w:cs="Times New Roman"/>
          <w:bCs/>
        </w:rPr>
        <w:t xml:space="preserve"> $0.116</w:t>
      </w:r>
      <w:r w:rsidR="000B6735" w:rsidRPr="00104D82">
        <w:rPr>
          <w:rFonts w:ascii="Times New Roman" w:hAnsi="Times New Roman" w:cs="Times New Roman"/>
          <w:bCs/>
        </w:rPr>
        <w:t xml:space="preserve"> per kWh (fixed for 20 years)</w:t>
      </w:r>
    </w:p>
    <w:p w:rsidR="000B6735" w:rsidRPr="00104D82" w:rsidRDefault="00EA06BA" w:rsidP="0076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Wind ≤ 100 kW:  </w:t>
      </w:r>
      <w:r w:rsidR="000B6735" w:rsidRPr="00104D82">
        <w:rPr>
          <w:rFonts w:ascii="Times New Roman" w:hAnsi="Times New Roman" w:cs="Times New Roman"/>
          <w:bCs/>
        </w:rPr>
        <w:t>$0</w:t>
      </w:r>
      <w:r w:rsidR="000B6735">
        <w:rPr>
          <w:rFonts w:ascii="Times New Roman" w:hAnsi="Times New Roman" w:cs="Times New Roman"/>
          <w:bCs/>
        </w:rPr>
        <w:t>.258</w:t>
      </w:r>
      <w:r w:rsidR="000B6735" w:rsidRPr="00104D82">
        <w:rPr>
          <w:rFonts w:ascii="Times New Roman" w:hAnsi="Times New Roman" w:cs="Times New Roman"/>
          <w:bCs/>
        </w:rPr>
        <w:t xml:space="preserve"> per kWh (fixed for 20 years)</w:t>
      </w:r>
    </w:p>
    <w:p w:rsidR="000B6735" w:rsidRPr="00104D82" w:rsidRDefault="00EA06BA" w:rsidP="0076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Hydroelectric:  </w:t>
      </w:r>
      <w:r w:rsidR="000B6735" w:rsidRPr="00104D82">
        <w:rPr>
          <w:rFonts w:ascii="Times New Roman" w:hAnsi="Times New Roman" w:cs="Times New Roman"/>
          <w:bCs/>
        </w:rPr>
        <w:t>$0.130 per kWh (fixed for 20 years)</w:t>
      </w:r>
    </w:p>
    <w:p w:rsidR="000B6735" w:rsidRPr="00104D82" w:rsidRDefault="000B6735" w:rsidP="0076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sidRPr="00104D82">
        <w:rPr>
          <w:rFonts w:ascii="Times New Roman" w:hAnsi="Times New Roman" w:cs="Times New Roman"/>
          <w:bCs/>
        </w:rPr>
        <w:t>•</w:t>
      </w:r>
      <w:r w:rsidRPr="00104D82">
        <w:rPr>
          <w:rFonts w:ascii="Times New Roman" w:hAnsi="Times New Roman" w:cs="Times New Roman"/>
          <w:bCs/>
        </w:rPr>
        <w:tab/>
      </w:r>
      <w:r w:rsidR="00EA06BA">
        <w:rPr>
          <w:rFonts w:ascii="Times New Roman" w:hAnsi="Times New Roman" w:cs="Times New Roman"/>
          <w:bCs/>
        </w:rPr>
        <w:t xml:space="preserve">Food Waste Anaerobic Digestion: </w:t>
      </w:r>
      <w:r w:rsidRPr="00104D82">
        <w:rPr>
          <w:rFonts w:ascii="Times New Roman" w:hAnsi="Times New Roman" w:cs="Times New Roman"/>
          <w:bCs/>
        </w:rPr>
        <w:t xml:space="preserve"> $0.208 (fixed for 20 years)</w:t>
      </w:r>
    </w:p>
    <w:p w:rsidR="000D5F48" w:rsidRDefault="00EA06BA" w:rsidP="00764B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Solar:</w:t>
      </w:r>
      <w:r w:rsidR="000B6735" w:rsidRPr="00104D82">
        <w:rPr>
          <w:rFonts w:ascii="Times New Roman" w:hAnsi="Times New Roman" w:cs="Times New Roman"/>
          <w:bCs/>
        </w:rPr>
        <w:t xml:space="preserve"> $0.130 per kWh (fixed for 25 years)</w:t>
      </w:r>
    </w:p>
    <w:p w:rsidR="00F06063" w:rsidRPr="000D5F48" w:rsidRDefault="000B6735" w:rsidP="00E943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ascii="Times New Roman" w:hAnsi="Times New Roman" w:cs="Times New Roman"/>
          <w:bCs/>
        </w:rPr>
      </w:pPr>
      <w:r>
        <w:rPr>
          <w:rFonts w:ascii="Times New Roman" w:hAnsi="Times New Roman" w:cs="Times New Roman"/>
        </w:rPr>
        <w:t>The following table contains avoided-cost price schedules for biomass and landfill gas projects.</w:t>
      </w:r>
    </w:p>
    <w:tbl>
      <w:tblPr>
        <w:tblW w:w="4192"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V w:val="single" w:sz="2" w:space="0" w:color="BFBFBF" w:themeColor="background1" w:themeShade="BF"/>
        </w:tblBorders>
        <w:tblLayout w:type="fixed"/>
        <w:tblLook w:val="04A0" w:firstRow="1" w:lastRow="0" w:firstColumn="1" w:lastColumn="0" w:noHBand="0" w:noVBand="1"/>
      </w:tblPr>
      <w:tblGrid>
        <w:gridCol w:w="1042"/>
        <w:gridCol w:w="1260"/>
        <w:gridCol w:w="1890"/>
      </w:tblGrid>
      <w:tr w:rsidR="000B6735" w:rsidRPr="001478CF" w:rsidTr="003B2649">
        <w:trPr>
          <w:trHeight w:hRule="exact" w:val="288"/>
          <w:jc w:val="center"/>
        </w:trPr>
        <w:tc>
          <w:tcPr>
            <w:tcW w:w="1042" w:type="dxa"/>
            <w:tcBorders>
              <w:top w:val="thinThickSmallGap" w:sz="18" w:space="0" w:color="A6A6A6" w:themeColor="background1" w:themeShade="A6"/>
              <w:left w:val="thinThickSmallGap" w:sz="18" w:space="0" w:color="A6A6A6" w:themeColor="background1" w:themeShade="A6"/>
              <w:bottom w:val="single" w:sz="12" w:space="0" w:color="A6A6A6" w:themeColor="background1" w:themeShade="A6"/>
              <w:right w:val="single" w:sz="4" w:space="0" w:color="A6A6A6" w:themeColor="background1" w:themeShade="A6"/>
            </w:tcBorders>
            <w:shd w:val="clear" w:color="auto" w:fill="auto"/>
            <w:tcMar>
              <w:bottom w:w="158" w:type="dxa"/>
            </w:tcMar>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 </w:t>
            </w:r>
          </w:p>
        </w:tc>
        <w:tc>
          <w:tcPr>
            <w:tcW w:w="1260" w:type="dxa"/>
            <w:tcBorders>
              <w:top w:val="thinThickSmallGap" w:sz="18"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auto"/>
            <w:tcMar>
              <w:left w:w="115" w:type="dxa"/>
              <w:bottom w:w="158" w:type="dxa"/>
              <w:right w:w="115" w:type="dxa"/>
            </w:tcMar>
            <w:vAlign w:val="center"/>
            <w:hideMark/>
          </w:tcPr>
          <w:p w:rsidR="000B6735" w:rsidRPr="003F43C9" w:rsidRDefault="0040120E" w:rsidP="00E943C6">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Biomass</w:t>
            </w:r>
          </w:p>
        </w:tc>
        <w:tc>
          <w:tcPr>
            <w:tcW w:w="1890" w:type="dxa"/>
            <w:tcBorders>
              <w:top w:val="thinThickSmallGap" w:sz="18"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auto"/>
            <w:tcMar>
              <w:left w:w="115" w:type="dxa"/>
              <w:bottom w:w="158" w:type="dxa"/>
              <w:right w:w="115" w:type="dxa"/>
            </w:tcMar>
            <w:vAlign w:val="center"/>
            <w:hideMark/>
          </w:tcPr>
          <w:p w:rsidR="000B6735" w:rsidRPr="003F43C9" w:rsidRDefault="0040120E" w:rsidP="00E943C6">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Landfill Gas</w:t>
            </w:r>
          </w:p>
        </w:tc>
      </w:tr>
      <w:tr w:rsidR="000B6735" w:rsidRPr="001478CF" w:rsidTr="00BE2FA8">
        <w:trPr>
          <w:trHeight w:hRule="exact" w:val="300"/>
          <w:jc w:val="center"/>
        </w:trPr>
        <w:tc>
          <w:tcPr>
            <w:tcW w:w="1042" w:type="dxa"/>
            <w:tcBorders>
              <w:top w:val="single" w:sz="8" w:space="0" w:color="A6A6A6" w:themeColor="background1" w:themeShade="A6"/>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w:t>
            </w:r>
          </w:p>
        </w:tc>
        <w:tc>
          <w:tcPr>
            <w:tcW w:w="1260" w:type="dxa"/>
            <w:tcBorders>
              <w:top w:val="single" w:sz="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0.121</w:t>
            </w:r>
          </w:p>
        </w:tc>
        <w:tc>
          <w:tcPr>
            <w:tcW w:w="1890" w:type="dxa"/>
            <w:tcBorders>
              <w:top w:val="single" w:sz="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0.088</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2</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0.122</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0.088</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3</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0.122</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0.089</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4</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0.123</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0.089</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5</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0.124</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w:t>
            </w:r>
            <w:r>
              <w:rPr>
                <w:rFonts w:ascii="Times New Roman" w:eastAsia="Times New Roman" w:hAnsi="Times New Roman" w:cs="Times New Roman"/>
                <w:color w:val="000000"/>
                <w:sz w:val="20"/>
                <w:szCs w:val="20"/>
              </w:rPr>
              <w:t>0</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6</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0.124</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w:t>
            </w:r>
            <w:r>
              <w:rPr>
                <w:rFonts w:ascii="Times New Roman" w:eastAsia="Times New Roman" w:hAnsi="Times New Roman" w:cs="Times New Roman"/>
                <w:color w:val="000000"/>
                <w:sz w:val="20"/>
                <w:szCs w:val="20"/>
              </w:rPr>
              <w:t>0</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7</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0.125</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0.091</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8</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0.126</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0.091</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9</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0.126</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0.092</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10</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0.127</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0.092</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11</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0.128</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0.093</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12</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0.129</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0.093</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13</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w:t>
            </w:r>
            <w:r>
              <w:rPr>
                <w:rFonts w:ascii="Times New Roman" w:eastAsia="Times New Roman" w:hAnsi="Times New Roman" w:cs="Times New Roman"/>
                <w:color w:val="000000"/>
                <w:sz w:val="20"/>
                <w:szCs w:val="20"/>
              </w:rPr>
              <w:t>0</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0.094</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14</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w:t>
            </w:r>
            <w:r>
              <w:rPr>
                <w:rFonts w:ascii="Times New Roman" w:eastAsia="Times New Roman" w:hAnsi="Times New Roman" w:cs="Times New Roman"/>
                <w:color w:val="000000"/>
                <w:sz w:val="20"/>
                <w:szCs w:val="20"/>
              </w:rPr>
              <w:t>0</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0.094</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15</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0.131</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0.095</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16</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0.132</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NA</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17</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0.133</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NA</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18</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0.134</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NA</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19</w:t>
            </w:r>
          </w:p>
        </w:tc>
        <w:tc>
          <w:tcPr>
            <w:tcW w:w="126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0.135</w:t>
            </w:r>
          </w:p>
        </w:tc>
        <w:tc>
          <w:tcPr>
            <w:tcW w:w="1890" w:type="dxa"/>
            <w:tcBorders>
              <w:top w:val="single" w:sz="2" w:space="0" w:color="BFBFBF" w:themeColor="background1" w:themeShade="BF"/>
              <w:bottom w:val="single" w:sz="2" w:space="0" w:color="BFBFBF" w:themeColor="background1" w:themeShade="BF"/>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NA</w:t>
            </w:r>
          </w:p>
        </w:tc>
      </w:tr>
      <w:tr w:rsidR="000B6735" w:rsidRPr="001478CF" w:rsidTr="00BE2FA8">
        <w:trPr>
          <w:trHeight w:hRule="exact" w:val="300"/>
          <w:jc w:val="center"/>
        </w:trPr>
        <w:tc>
          <w:tcPr>
            <w:tcW w:w="1042" w:type="dxa"/>
            <w:tcBorders>
              <w:top w:val="single" w:sz="2" w:space="0" w:color="BFBFBF" w:themeColor="background1" w:themeShade="BF"/>
              <w:left w:val="thinThickSmallGap" w:sz="18" w:space="0" w:color="A6A6A6" w:themeColor="background1" w:themeShade="A6"/>
              <w:bottom w:val="thickThinSmallGap" w:sz="18" w:space="0" w:color="A6A6A6" w:themeColor="background1" w:themeShade="A6"/>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b/>
                <w:bCs/>
                <w:color w:val="000000"/>
                <w:sz w:val="20"/>
                <w:szCs w:val="20"/>
              </w:rPr>
            </w:pPr>
            <w:r w:rsidRPr="001478CF">
              <w:rPr>
                <w:rFonts w:ascii="Times New Roman" w:eastAsia="Times New Roman" w:hAnsi="Times New Roman" w:cs="Times New Roman"/>
                <w:b/>
                <w:bCs/>
                <w:color w:val="000000"/>
                <w:sz w:val="20"/>
                <w:szCs w:val="20"/>
              </w:rPr>
              <w:t>Year 20</w:t>
            </w:r>
          </w:p>
        </w:tc>
        <w:tc>
          <w:tcPr>
            <w:tcW w:w="1260" w:type="dxa"/>
            <w:tcBorders>
              <w:top w:val="single" w:sz="2" w:space="0" w:color="BFBFBF" w:themeColor="background1" w:themeShade="BF"/>
              <w:bottom w:val="thickThinSmallGap" w:sz="18" w:space="0" w:color="A6A6A6" w:themeColor="background1" w:themeShade="A6"/>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0.135</w:t>
            </w:r>
          </w:p>
        </w:tc>
        <w:tc>
          <w:tcPr>
            <w:tcW w:w="1890" w:type="dxa"/>
            <w:tcBorders>
              <w:top w:val="single" w:sz="2" w:space="0" w:color="BFBFBF" w:themeColor="background1" w:themeShade="BF"/>
              <w:bottom w:val="thickThinSmallGap" w:sz="18" w:space="0" w:color="A6A6A6" w:themeColor="background1" w:themeShade="A6"/>
            </w:tcBorders>
            <w:shd w:val="clear" w:color="auto" w:fill="auto"/>
            <w:vAlign w:val="center"/>
            <w:hideMark/>
          </w:tcPr>
          <w:p w:rsidR="000B6735" w:rsidRPr="001478CF" w:rsidRDefault="000B6735" w:rsidP="00E943C6">
            <w:pPr>
              <w:spacing w:after="0" w:line="240" w:lineRule="auto"/>
              <w:jc w:val="center"/>
              <w:rPr>
                <w:rFonts w:ascii="Times New Roman" w:eastAsia="Times New Roman" w:hAnsi="Times New Roman" w:cs="Times New Roman"/>
                <w:color w:val="000000"/>
                <w:sz w:val="20"/>
                <w:szCs w:val="20"/>
              </w:rPr>
            </w:pPr>
            <w:r w:rsidRPr="001478CF">
              <w:rPr>
                <w:rFonts w:ascii="Times New Roman" w:eastAsia="Times New Roman" w:hAnsi="Times New Roman" w:cs="Times New Roman"/>
                <w:color w:val="000000"/>
                <w:sz w:val="20"/>
                <w:szCs w:val="20"/>
              </w:rPr>
              <w:t>NA</w:t>
            </w:r>
          </w:p>
        </w:tc>
      </w:tr>
    </w:tbl>
    <w:p w:rsidR="0086338E" w:rsidRPr="00534C0F" w:rsidRDefault="00534C0F" w:rsidP="00764B60">
      <w:pPr>
        <w:pStyle w:val="Heading2"/>
        <w:spacing w:before="240" w:after="120" w:line="240" w:lineRule="auto"/>
        <w:rPr>
          <w:rFonts w:ascii="Times New Roman" w:hAnsi="Times New Roman" w:cs="Times New Roman"/>
          <w:sz w:val="28"/>
          <w:szCs w:val="28"/>
        </w:rPr>
      </w:pPr>
      <w:bookmarkStart w:id="43" w:name="_Toc349812095"/>
      <w:bookmarkStart w:id="44" w:name="_Toc509494733"/>
      <w:r w:rsidRPr="00534C0F">
        <w:rPr>
          <w:rFonts w:ascii="Times New Roman" w:hAnsi="Times New Roman" w:cs="Times New Roman"/>
          <w:sz w:val="28"/>
          <w:szCs w:val="28"/>
        </w:rPr>
        <w:lastRenderedPageBreak/>
        <w:t xml:space="preserve">4. </w:t>
      </w:r>
      <w:r w:rsidR="0086338E" w:rsidRPr="00534C0F">
        <w:rPr>
          <w:rFonts w:ascii="Times New Roman" w:hAnsi="Times New Roman" w:cs="Times New Roman"/>
          <w:sz w:val="28"/>
          <w:szCs w:val="28"/>
        </w:rPr>
        <w:t>Terms and Conditions</w:t>
      </w:r>
      <w:bookmarkEnd w:id="43"/>
      <w:bookmarkEnd w:id="44"/>
      <w:r w:rsidR="0086338E" w:rsidRPr="00534C0F">
        <w:rPr>
          <w:rFonts w:ascii="Times New Roman" w:hAnsi="Times New Roman" w:cs="Times New Roman"/>
          <w:sz w:val="28"/>
          <w:szCs w:val="28"/>
        </w:rPr>
        <w:tab/>
      </w:r>
    </w:p>
    <w:p w:rsidR="0086338E" w:rsidRPr="0086338E" w:rsidRDefault="00534C0F" w:rsidP="00764B60">
      <w:pPr>
        <w:pStyle w:val="Heading2"/>
        <w:spacing w:before="240" w:after="120" w:line="240" w:lineRule="auto"/>
        <w:rPr>
          <w:rFonts w:ascii="Times New Roman" w:hAnsi="Times New Roman" w:cs="Times New Roman"/>
        </w:rPr>
      </w:pPr>
      <w:bookmarkStart w:id="45" w:name="_Toc349812096"/>
      <w:bookmarkStart w:id="46" w:name="_Toc509494734"/>
      <w:r>
        <w:rPr>
          <w:rFonts w:ascii="Times New Roman" w:hAnsi="Times New Roman" w:cs="Times New Roman"/>
        </w:rPr>
        <w:t xml:space="preserve">4.1 </w:t>
      </w:r>
      <w:r w:rsidR="0086338E" w:rsidRPr="0086338E">
        <w:rPr>
          <w:rFonts w:ascii="Times New Roman" w:hAnsi="Times New Roman" w:cs="Times New Roman"/>
        </w:rPr>
        <w:t>General Terms and Conditions</w:t>
      </w:r>
      <w:bookmarkEnd w:id="45"/>
      <w:bookmarkEnd w:id="46"/>
    </w:p>
    <w:p w:rsidR="0086338E" w:rsidRPr="0086338E" w:rsidRDefault="00764B60"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Pr>
          <w:rFonts w:ascii="Times New Roman" w:hAnsi="Times New Roman" w:cs="Times New Roman"/>
        </w:rPr>
        <w:t>Neither VEPP</w:t>
      </w:r>
      <w:r w:rsidR="0086338E" w:rsidRPr="0086338E">
        <w:rPr>
          <w:rFonts w:ascii="Times New Roman" w:hAnsi="Times New Roman" w:cs="Times New Roman"/>
        </w:rPr>
        <w:t>, the State of Verm</w:t>
      </w:r>
      <w:r w:rsidR="00292789">
        <w:rPr>
          <w:rFonts w:ascii="Times New Roman" w:hAnsi="Times New Roman" w:cs="Times New Roman"/>
        </w:rPr>
        <w:t>ont, the Commission</w:t>
      </w:r>
      <w:r w:rsidR="00E93AA3">
        <w:rPr>
          <w:rFonts w:ascii="Times New Roman" w:hAnsi="Times New Roman" w:cs="Times New Roman"/>
        </w:rPr>
        <w:t xml:space="preserve">, </w:t>
      </w:r>
      <w:r w:rsidR="00B72277">
        <w:rPr>
          <w:rFonts w:ascii="Times New Roman" w:hAnsi="Times New Roman" w:cs="Times New Roman"/>
        </w:rPr>
        <w:t>n</w:t>
      </w:r>
      <w:r w:rsidR="00E93AA3">
        <w:rPr>
          <w:rFonts w:ascii="Times New Roman" w:hAnsi="Times New Roman" w:cs="Times New Roman"/>
        </w:rPr>
        <w:t>or the Vermont distribution</w:t>
      </w:r>
      <w:r w:rsidR="00B72277">
        <w:rPr>
          <w:rFonts w:ascii="Times New Roman" w:hAnsi="Times New Roman" w:cs="Times New Roman"/>
        </w:rPr>
        <w:t xml:space="preserve"> utilities assume</w:t>
      </w:r>
      <w:r w:rsidR="0086338E" w:rsidRPr="0086338E">
        <w:rPr>
          <w:rFonts w:ascii="Times New Roman" w:hAnsi="Times New Roman" w:cs="Times New Roman"/>
        </w:rPr>
        <w:t xml:space="preserve"> any contractual or other obligations as a result of the issuance of this RFP, the </w:t>
      </w:r>
      <w:r w:rsidR="00E93AA3">
        <w:rPr>
          <w:rFonts w:ascii="Times New Roman" w:hAnsi="Times New Roman" w:cs="Times New Roman"/>
        </w:rPr>
        <w:t>preparation or submission of a proposal by a proponent, the p</w:t>
      </w:r>
      <w:r w:rsidR="0086338E" w:rsidRPr="0086338E">
        <w:rPr>
          <w:rFonts w:ascii="Times New Roman" w:hAnsi="Times New Roman" w:cs="Times New Roman"/>
        </w:rPr>
        <w:t>roponent’s participation in any discussions or negotiations, or any other basis arising out of this RFP.</w:t>
      </w:r>
    </w:p>
    <w:p w:rsidR="0086338E" w:rsidRPr="0086338E" w:rsidRDefault="00534C0F" w:rsidP="00764B60">
      <w:pPr>
        <w:pStyle w:val="Heading2"/>
        <w:spacing w:before="240" w:after="120" w:line="240" w:lineRule="auto"/>
        <w:rPr>
          <w:rFonts w:ascii="Times New Roman" w:hAnsi="Times New Roman" w:cs="Times New Roman"/>
        </w:rPr>
      </w:pPr>
      <w:bookmarkStart w:id="47" w:name="_Toc349812097"/>
      <w:bookmarkStart w:id="48" w:name="_Toc509494735"/>
      <w:r>
        <w:rPr>
          <w:rFonts w:ascii="Times New Roman" w:hAnsi="Times New Roman" w:cs="Times New Roman"/>
        </w:rPr>
        <w:t xml:space="preserve">4.2 </w:t>
      </w:r>
      <w:r w:rsidR="0086338E" w:rsidRPr="0086338E">
        <w:rPr>
          <w:rFonts w:ascii="Times New Roman" w:hAnsi="Times New Roman" w:cs="Times New Roman"/>
        </w:rPr>
        <w:t>Proponent Costs and Limitation of Liability</w:t>
      </w:r>
      <w:bookmarkEnd w:id="47"/>
      <w:bookmarkEnd w:id="48"/>
    </w:p>
    <w:p w:rsidR="00240A15"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rPr>
      </w:pPr>
      <w:r w:rsidRPr="0086338E">
        <w:rPr>
          <w:rFonts w:ascii="Times New Roman" w:hAnsi="Times New Roman" w:cs="Times New Roman"/>
        </w:rPr>
        <w:t>Proponents will bear all costs and expenses in connection with their p</w:t>
      </w:r>
      <w:r w:rsidR="00E93AA3">
        <w:rPr>
          <w:rFonts w:ascii="Times New Roman" w:hAnsi="Times New Roman" w:cs="Times New Roman"/>
        </w:rPr>
        <w:t>articipation in this RFP.  The p</w:t>
      </w:r>
      <w:r w:rsidRPr="0086338E">
        <w:rPr>
          <w:rFonts w:ascii="Times New Roman" w:hAnsi="Times New Roman" w:cs="Times New Roman"/>
        </w:rPr>
        <w:t>roponent shall not have any claims again</w:t>
      </w:r>
      <w:r w:rsidR="00764B60">
        <w:rPr>
          <w:rFonts w:ascii="Times New Roman" w:hAnsi="Times New Roman" w:cs="Times New Roman"/>
        </w:rPr>
        <w:t>st VEPP</w:t>
      </w:r>
      <w:r w:rsidRPr="0086338E">
        <w:rPr>
          <w:rFonts w:ascii="Times New Roman" w:hAnsi="Times New Roman" w:cs="Times New Roman"/>
        </w:rPr>
        <w:t>, the State of Ver</w:t>
      </w:r>
      <w:r w:rsidR="00292789">
        <w:rPr>
          <w:rFonts w:ascii="Times New Roman" w:hAnsi="Times New Roman" w:cs="Times New Roman"/>
        </w:rPr>
        <w:t>mont, the Commission</w:t>
      </w:r>
      <w:r w:rsidR="00E93AA3">
        <w:rPr>
          <w:rFonts w:ascii="Times New Roman" w:hAnsi="Times New Roman" w:cs="Times New Roman"/>
        </w:rPr>
        <w:t>, or the Vermont distribution</w:t>
      </w:r>
      <w:r w:rsidRPr="0086338E">
        <w:rPr>
          <w:rFonts w:ascii="Times New Roman" w:hAnsi="Times New Roman" w:cs="Times New Roman"/>
        </w:rPr>
        <w:t xml:space="preserve"> utilities for any compensation of any kind as a result of participating in this RFP process.  </w:t>
      </w:r>
    </w:p>
    <w:p w:rsidR="0086338E" w:rsidRPr="0086338E" w:rsidRDefault="00534C0F" w:rsidP="00764B60">
      <w:pPr>
        <w:pStyle w:val="Heading2"/>
        <w:spacing w:before="240" w:after="120" w:line="240" w:lineRule="auto"/>
        <w:rPr>
          <w:rFonts w:ascii="Times New Roman" w:hAnsi="Times New Roman" w:cs="Times New Roman"/>
        </w:rPr>
      </w:pPr>
      <w:bookmarkStart w:id="49" w:name="_Toc349812098"/>
      <w:bookmarkStart w:id="50" w:name="_Toc509494736"/>
      <w:r>
        <w:rPr>
          <w:rFonts w:ascii="Times New Roman" w:hAnsi="Times New Roman" w:cs="Times New Roman"/>
        </w:rPr>
        <w:t xml:space="preserve">4.3 </w:t>
      </w:r>
      <w:r w:rsidR="0086338E" w:rsidRPr="0086338E">
        <w:rPr>
          <w:rFonts w:ascii="Times New Roman" w:hAnsi="Times New Roman" w:cs="Times New Roman"/>
        </w:rPr>
        <w:t>Reserved Rights</w:t>
      </w:r>
      <w:bookmarkEnd w:id="49"/>
      <w:bookmarkEnd w:id="50"/>
    </w:p>
    <w:p w:rsidR="0086338E" w:rsidRPr="0086338E" w:rsidRDefault="00764B60"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rPr>
          <w:rFonts w:ascii="Times New Roman" w:hAnsi="Times New Roman" w:cs="Times New Roman"/>
        </w:rPr>
      </w:pPr>
      <w:r>
        <w:rPr>
          <w:rFonts w:ascii="Times New Roman" w:hAnsi="Times New Roman" w:cs="Times New Roman"/>
        </w:rPr>
        <w:t>VEPP</w:t>
      </w:r>
      <w:r w:rsidR="0086338E" w:rsidRPr="0086338E">
        <w:rPr>
          <w:rFonts w:ascii="Times New Roman" w:hAnsi="Times New Roman" w:cs="Times New Roman"/>
        </w:rPr>
        <w:t xml:space="preserve"> shall have the discretion to:</w:t>
      </w:r>
    </w:p>
    <w:p w:rsidR="0086338E" w:rsidRPr="0086338E" w:rsidRDefault="0086338E" w:rsidP="00072F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99"/>
        <w:rPr>
          <w:rFonts w:ascii="Times New Roman" w:hAnsi="Times New Roman" w:cs="Times New Roman"/>
          <w:sz w:val="16"/>
          <w:szCs w:val="16"/>
        </w:rPr>
        <w:sectPr w:rsidR="0086338E" w:rsidRPr="0086338E" w:rsidSect="0040120E">
          <w:headerReference w:type="default" r:id="rId14"/>
          <w:footerReference w:type="default" r:id="rId15"/>
          <w:type w:val="continuous"/>
          <w:pgSz w:w="12240" w:h="15840" w:code="1"/>
          <w:pgMar w:top="1440" w:right="1440" w:bottom="1440" w:left="1440" w:header="720" w:footer="720" w:gutter="0"/>
          <w:cols w:space="720"/>
          <w:noEndnote/>
        </w:sectPr>
      </w:pPr>
    </w:p>
    <w:p w:rsidR="0086338E" w:rsidRPr="0086338E" w:rsidRDefault="0086338E" w:rsidP="00072FB5">
      <w:pPr>
        <w:autoSpaceDE w:val="0"/>
        <w:autoSpaceDN w:val="0"/>
        <w:adjustRightInd w:val="0"/>
        <w:spacing w:after="0"/>
        <w:rPr>
          <w:rFonts w:ascii="Times New Roman" w:hAnsi="Times New Roman" w:cs="Times New Roman"/>
          <w:sz w:val="16"/>
          <w:szCs w:val="16"/>
        </w:rPr>
      </w:pPr>
    </w:p>
    <w:p w:rsidR="0086338E" w:rsidRPr="00764B60" w:rsidRDefault="0086338E" w:rsidP="00764B60">
      <w:pPr>
        <w:pStyle w:val="ListParagraph"/>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imes New Roman" w:hAnsi="Times New Roman" w:cs="Times New Roman"/>
        </w:rPr>
      </w:pPr>
      <w:r w:rsidRPr="00EB4981">
        <w:rPr>
          <w:rFonts w:ascii="Times New Roman" w:hAnsi="Times New Roman" w:cs="Times New Roman"/>
        </w:rPr>
        <w:t xml:space="preserve">Make </w:t>
      </w:r>
      <w:r w:rsidR="00E93AA3">
        <w:rPr>
          <w:rFonts w:ascii="Times New Roman" w:hAnsi="Times New Roman" w:cs="Times New Roman"/>
        </w:rPr>
        <w:t>public the names of any or all p</w:t>
      </w:r>
      <w:r w:rsidRPr="00EB4981">
        <w:rPr>
          <w:rFonts w:ascii="Times New Roman" w:hAnsi="Times New Roman" w:cs="Times New Roman"/>
        </w:rPr>
        <w:t>roponents a</w:t>
      </w:r>
      <w:r w:rsidR="00E93AA3">
        <w:rPr>
          <w:rFonts w:ascii="Times New Roman" w:hAnsi="Times New Roman" w:cs="Times New Roman"/>
        </w:rPr>
        <w:t>nd members of their respective project t</w:t>
      </w:r>
      <w:r w:rsidRPr="00EB4981">
        <w:rPr>
          <w:rFonts w:ascii="Times New Roman" w:hAnsi="Times New Roman" w:cs="Times New Roman"/>
        </w:rPr>
        <w:t xml:space="preserve">eams. </w:t>
      </w:r>
    </w:p>
    <w:p w:rsidR="00245B30" w:rsidRPr="00764B60" w:rsidRDefault="00E93AA3" w:rsidP="00764B60">
      <w:pPr>
        <w:pStyle w:val="ListParagraph"/>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imes New Roman" w:hAnsi="Times New Roman" w:cs="Times New Roman"/>
        </w:rPr>
      </w:pPr>
      <w:r>
        <w:rPr>
          <w:rFonts w:ascii="Times New Roman" w:hAnsi="Times New Roman" w:cs="Times New Roman"/>
        </w:rPr>
        <w:t>Verify with any p</w:t>
      </w:r>
      <w:r w:rsidR="0086338E" w:rsidRPr="00245B30">
        <w:rPr>
          <w:rFonts w:ascii="Times New Roman" w:hAnsi="Times New Roman" w:cs="Times New Roman"/>
        </w:rPr>
        <w:t>roponent, or with a third party</w:t>
      </w:r>
      <w:r>
        <w:rPr>
          <w:rFonts w:ascii="Times New Roman" w:hAnsi="Times New Roman" w:cs="Times New Roman"/>
        </w:rPr>
        <w:t>, any information set out in a p</w:t>
      </w:r>
      <w:r w:rsidR="0086338E" w:rsidRPr="00245B30">
        <w:rPr>
          <w:rFonts w:ascii="Times New Roman" w:hAnsi="Times New Roman" w:cs="Times New Roman"/>
        </w:rPr>
        <w:t xml:space="preserve">roposal and </w:t>
      </w:r>
      <w:r w:rsidR="00CA2863">
        <w:rPr>
          <w:rFonts w:ascii="Times New Roman" w:hAnsi="Times New Roman" w:cs="Times New Roman"/>
        </w:rPr>
        <w:t xml:space="preserve">may </w:t>
      </w:r>
      <w:r w:rsidR="0086338E" w:rsidRPr="00245B30">
        <w:rPr>
          <w:rFonts w:ascii="Times New Roman" w:hAnsi="Times New Roman" w:cs="Times New Roman"/>
        </w:rPr>
        <w:t>check</w:t>
      </w:r>
      <w:r w:rsidR="00245B30" w:rsidRPr="00245B30">
        <w:rPr>
          <w:rFonts w:ascii="Times New Roman" w:hAnsi="Times New Roman" w:cs="Times New Roman"/>
        </w:rPr>
        <w:t xml:space="preserve"> </w:t>
      </w:r>
      <w:r w:rsidR="0086338E" w:rsidRPr="00245B30">
        <w:rPr>
          <w:rFonts w:ascii="Times New Roman" w:hAnsi="Times New Roman" w:cs="Times New Roman"/>
        </w:rPr>
        <w:t xml:space="preserve">references </w:t>
      </w:r>
      <w:r>
        <w:rPr>
          <w:rFonts w:ascii="Times New Roman" w:hAnsi="Times New Roman" w:cs="Times New Roman"/>
        </w:rPr>
        <w:t>provided by any p</w:t>
      </w:r>
      <w:r w:rsidR="00CA2863">
        <w:rPr>
          <w:rFonts w:ascii="Times New Roman" w:hAnsi="Times New Roman" w:cs="Times New Roman"/>
        </w:rPr>
        <w:t>roponent as well as others.</w:t>
      </w:r>
    </w:p>
    <w:p w:rsidR="00245B30" w:rsidRPr="00764B60" w:rsidRDefault="00E93AA3" w:rsidP="00764B60">
      <w:pPr>
        <w:pStyle w:val="ListParagraph"/>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imes New Roman" w:hAnsi="Times New Roman" w:cs="Times New Roman"/>
        </w:rPr>
      </w:pPr>
      <w:r>
        <w:rPr>
          <w:rFonts w:ascii="Times New Roman" w:hAnsi="Times New Roman" w:cs="Times New Roman"/>
        </w:rPr>
        <w:t>Disqualify any proponent whose p</w:t>
      </w:r>
      <w:r w:rsidR="0086338E" w:rsidRPr="00245B30">
        <w:rPr>
          <w:rFonts w:ascii="Times New Roman" w:hAnsi="Times New Roman" w:cs="Times New Roman"/>
        </w:rPr>
        <w:t xml:space="preserve">roposal contains misrepresentations or any other inaccurate or misleading information. </w:t>
      </w:r>
    </w:p>
    <w:p w:rsidR="00764B60" w:rsidRDefault="00E93AA3" w:rsidP="00764B60">
      <w:pPr>
        <w:pStyle w:val="ListParagraph"/>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imes New Roman" w:hAnsi="Times New Roman" w:cs="Times New Roman"/>
        </w:rPr>
      </w:pPr>
      <w:r>
        <w:rPr>
          <w:rFonts w:ascii="Times New Roman" w:hAnsi="Times New Roman" w:cs="Times New Roman"/>
        </w:rPr>
        <w:t>Disqualify any proponent or the proposal of any p</w:t>
      </w:r>
      <w:r w:rsidR="0086338E" w:rsidRPr="00245B30">
        <w:rPr>
          <w:rFonts w:ascii="Times New Roman" w:hAnsi="Times New Roman" w:cs="Times New Roman"/>
        </w:rPr>
        <w:t xml:space="preserve">roponent who has engaged in conduct prohibited by this RFP (See Section 2.2). </w:t>
      </w:r>
    </w:p>
    <w:p w:rsidR="00382F8C" w:rsidRPr="00764B60" w:rsidRDefault="0086338E" w:rsidP="00764B60">
      <w:pPr>
        <w:pStyle w:val="ListParagraph"/>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contextualSpacing w:val="0"/>
        <w:rPr>
          <w:rFonts w:ascii="Times New Roman" w:hAnsi="Times New Roman" w:cs="Times New Roman"/>
        </w:rPr>
      </w:pPr>
      <w:r w:rsidRPr="00764B60">
        <w:rPr>
          <w:rFonts w:ascii="Times New Roman" w:hAnsi="Times New Roman" w:cs="Times New Roman"/>
        </w:rPr>
        <w:t>Suspend or cancel this RFP at any tim</w:t>
      </w:r>
      <w:r w:rsidR="00292789" w:rsidRPr="00764B60">
        <w:rPr>
          <w:rFonts w:ascii="Times New Roman" w:hAnsi="Times New Roman" w:cs="Times New Roman"/>
        </w:rPr>
        <w:t>e with the approval of the Commission</w:t>
      </w:r>
      <w:r w:rsidRPr="00764B60">
        <w:rPr>
          <w:rFonts w:ascii="Times New Roman" w:hAnsi="Times New Roman" w:cs="Times New Roman"/>
        </w:rPr>
        <w:t xml:space="preserve">. </w:t>
      </w:r>
    </w:p>
    <w:p w:rsidR="00245B30" w:rsidRPr="00764B60" w:rsidRDefault="00E93AA3" w:rsidP="00764B60">
      <w:pPr>
        <w:pStyle w:val="ListParagraph"/>
        <w:numPr>
          <w:ilvl w:val="0"/>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120"/>
        <w:contextualSpacing w:val="0"/>
        <w:rPr>
          <w:rFonts w:ascii="Times New Roman" w:hAnsi="Times New Roman" w:cs="Times New Roman"/>
        </w:rPr>
      </w:pPr>
      <w:r>
        <w:rPr>
          <w:rFonts w:ascii="Times New Roman" w:hAnsi="Times New Roman" w:cs="Times New Roman"/>
        </w:rPr>
        <w:t>Reject any or all p</w:t>
      </w:r>
      <w:r w:rsidR="0086338E" w:rsidRPr="00245B30">
        <w:rPr>
          <w:rFonts w:ascii="Times New Roman" w:hAnsi="Times New Roman" w:cs="Times New Roman"/>
        </w:rPr>
        <w:t xml:space="preserve">roposals submitted in response to this RFP that do not comply with the terms of the RFP. </w:t>
      </w:r>
      <w:r w:rsidR="0086338E" w:rsidRPr="00245B30">
        <w:rPr>
          <w:rFonts w:ascii="Times New Roman" w:hAnsi="Times New Roman" w:cs="Times New Roman"/>
        </w:rPr>
        <w:tab/>
      </w:r>
    </w:p>
    <w:p w:rsidR="00C55DB4" w:rsidRPr="00764B60" w:rsidRDefault="00292789" w:rsidP="00764B60">
      <w:pPr>
        <w:pStyle w:val="ListParagraph"/>
        <w:numPr>
          <w:ilvl w:val="0"/>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120"/>
        <w:contextualSpacing w:val="0"/>
        <w:rPr>
          <w:rFonts w:ascii="Times New Roman" w:hAnsi="Times New Roman" w:cs="Times New Roman"/>
        </w:rPr>
      </w:pPr>
      <w:r>
        <w:rPr>
          <w:rFonts w:ascii="Times New Roman" w:hAnsi="Times New Roman" w:cs="Times New Roman"/>
        </w:rPr>
        <w:t>With notice to the Commission</w:t>
      </w:r>
      <w:r w:rsidR="00257D8F">
        <w:rPr>
          <w:rFonts w:ascii="Times New Roman" w:hAnsi="Times New Roman" w:cs="Times New Roman"/>
        </w:rPr>
        <w:t xml:space="preserve">, </w:t>
      </w:r>
      <w:r w:rsidR="0086338E" w:rsidRPr="00245B30">
        <w:rPr>
          <w:rFonts w:ascii="Times New Roman" w:hAnsi="Times New Roman" w:cs="Times New Roman"/>
        </w:rPr>
        <w:t>disregard minor deficiencies in a proposal if such proposal complies in all material respects with the requirements of this RFP.</w:t>
      </w:r>
      <w:r w:rsidR="0086338E" w:rsidRPr="00245B30">
        <w:rPr>
          <w:rFonts w:ascii="Times New Roman" w:hAnsi="Times New Roman" w:cs="Times New Roman"/>
        </w:rPr>
        <w:tab/>
      </w:r>
    </w:p>
    <w:p w:rsidR="0086338E" w:rsidRPr="00C55DB4" w:rsidRDefault="00C670A6" w:rsidP="00764B60">
      <w:pPr>
        <w:pStyle w:val="ListParagraph"/>
        <w:numPr>
          <w:ilvl w:val="0"/>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120"/>
        <w:contextualSpacing w:val="0"/>
        <w:rPr>
          <w:rFonts w:ascii="Times New Roman" w:hAnsi="Times New Roman" w:cs="Times New Roman"/>
        </w:rPr>
      </w:pPr>
      <w:r>
        <w:rPr>
          <w:rFonts w:ascii="Times New Roman" w:hAnsi="Times New Roman" w:cs="Times New Roman"/>
        </w:rPr>
        <w:t xml:space="preserve">The Standard </w:t>
      </w:r>
      <w:r w:rsidR="00BB0F56">
        <w:rPr>
          <w:rFonts w:ascii="Times New Roman" w:hAnsi="Times New Roman" w:cs="Times New Roman"/>
        </w:rPr>
        <w:t>Offer</w:t>
      </w:r>
      <w:r w:rsidR="0086338E" w:rsidRPr="00C55DB4">
        <w:rPr>
          <w:rFonts w:ascii="Times New Roman" w:hAnsi="Times New Roman" w:cs="Times New Roman"/>
        </w:rPr>
        <w:t xml:space="preserve"> Facilitator, as a co</w:t>
      </w:r>
      <w:r w:rsidR="00292789">
        <w:rPr>
          <w:rFonts w:ascii="Times New Roman" w:hAnsi="Times New Roman" w:cs="Times New Roman"/>
        </w:rPr>
        <w:t>ntractor for the Commission</w:t>
      </w:r>
      <w:r w:rsidR="00D76BC8">
        <w:rPr>
          <w:rFonts w:ascii="Times New Roman" w:hAnsi="Times New Roman" w:cs="Times New Roman"/>
        </w:rPr>
        <w:t xml:space="preserve">, and the </w:t>
      </w:r>
      <w:r w:rsidR="00292789">
        <w:rPr>
          <w:rFonts w:ascii="Times New Roman" w:hAnsi="Times New Roman" w:cs="Times New Roman"/>
        </w:rPr>
        <w:t>Commission</w:t>
      </w:r>
      <w:r w:rsidR="0086338E" w:rsidRPr="00C55DB4">
        <w:rPr>
          <w:rFonts w:ascii="Times New Roman" w:hAnsi="Times New Roman" w:cs="Times New Roman"/>
        </w:rPr>
        <w:t xml:space="preserve"> may have communications regarding any proposal in response to th</w:t>
      </w:r>
      <w:r w:rsidR="000D3495">
        <w:rPr>
          <w:rFonts w:ascii="Times New Roman" w:hAnsi="Times New Roman" w:cs="Times New Roman"/>
        </w:rPr>
        <w:t>is RFP that are not noticed to p</w:t>
      </w:r>
      <w:r w:rsidR="0086338E" w:rsidRPr="00C55DB4">
        <w:rPr>
          <w:rFonts w:ascii="Times New Roman" w:hAnsi="Times New Roman" w:cs="Times New Roman"/>
        </w:rPr>
        <w:t>roponents.</w:t>
      </w:r>
    </w:p>
    <w:p w:rsidR="0086338E" w:rsidRPr="0086338E" w:rsidRDefault="00534C0F" w:rsidP="00764B60">
      <w:pPr>
        <w:pStyle w:val="Heading2"/>
        <w:spacing w:before="240" w:after="120" w:line="240" w:lineRule="auto"/>
        <w:rPr>
          <w:rFonts w:ascii="Times New Roman" w:hAnsi="Times New Roman" w:cs="Times New Roman"/>
        </w:rPr>
      </w:pPr>
      <w:bookmarkStart w:id="51" w:name="_Toc509494737"/>
      <w:r>
        <w:rPr>
          <w:rFonts w:ascii="Times New Roman" w:hAnsi="Times New Roman" w:cs="Times New Roman"/>
        </w:rPr>
        <w:t xml:space="preserve">4.4 </w:t>
      </w:r>
      <w:r w:rsidR="0086338E" w:rsidRPr="0086338E">
        <w:rPr>
          <w:rFonts w:ascii="Times New Roman" w:hAnsi="Times New Roman" w:cs="Times New Roman"/>
        </w:rPr>
        <w:t>Governing Law</w:t>
      </w:r>
      <w:bookmarkEnd w:id="51"/>
      <w:r w:rsidR="0086338E" w:rsidRPr="0086338E">
        <w:rPr>
          <w:rFonts w:ascii="Times New Roman" w:hAnsi="Times New Roman" w:cs="Times New Roman"/>
        </w:rPr>
        <w:t xml:space="preserve"> </w:t>
      </w:r>
    </w:p>
    <w:p w:rsidR="0086338E" w:rsidRPr="0086338E" w:rsidRDefault="0086338E" w:rsidP="00072FB5">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rPr>
          <w:rFonts w:ascii="Times New Roman" w:hAnsi="Times New Roman" w:cs="Times New Roman"/>
        </w:rPr>
      </w:pPr>
      <w:r w:rsidRPr="0086338E">
        <w:rPr>
          <w:rFonts w:ascii="Times New Roman" w:hAnsi="Times New Roman" w:cs="Times New Roman"/>
        </w:rPr>
        <w:t>This RFP shall be governed by and construed in accordance with the law</w:t>
      </w:r>
      <w:r w:rsidR="008775A9">
        <w:rPr>
          <w:rFonts w:ascii="Times New Roman" w:hAnsi="Times New Roman" w:cs="Times New Roman"/>
        </w:rPr>
        <w:t xml:space="preserve">s of the State of Vermont.  Any </w:t>
      </w:r>
      <w:r w:rsidRPr="0086338E">
        <w:rPr>
          <w:rFonts w:ascii="Times New Roman" w:hAnsi="Times New Roman" w:cs="Times New Roman"/>
        </w:rPr>
        <w:t>disputes sh</w:t>
      </w:r>
      <w:r w:rsidR="00292789">
        <w:rPr>
          <w:rFonts w:ascii="Times New Roman" w:hAnsi="Times New Roman" w:cs="Times New Roman"/>
        </w:rPr>
        <w:t>all be resolved before the Commission</w:t>
      </w:r>
      <w:r w:rsidRPr="0086338E">
        <w:rPr>
          <w:rFonts w:ascii="Times New Roman" w:hAnsi="Times New Roman" w:cs="Times New Roman"/>
        </w:rPr>
        <w:t>.</w:t>
      </w:r>
    </w:p>
    <w:p w:rsidR="0086338E" w:rsidRPr="0086338E" w:rsidRDefault="00534C0F" w:rsidP="00764B60">
      <w:pPr>
        <w:pStyle w:val="Heading2"/>
        <w:spacing w:before="240" w:after="120" w:line="240" w:lineRule="auto"/>
        <w:rPr>
          <w:rFonts w:ascii="Times New Roman" w:hAnsi="Times New Roman" w:cs="Times New Roman"/>
        </w:rPr>
      </w:pPr>
      <w:bookmarkStart w:id="52" w:name="_Toc509494738"/>
      <w:r>
        <w:rPr>
          <w:rFonts w:ascii="Times New Roman" w:hAnsi="Times New Roman" w:cs="Times New Roman"/>
        </w:rPr>
        <w:t xml:space="preserve">4.5 </w:t>
      </w:r>
      <w:r w:rsidR="0086338E" w:rsidRPr="0086338E">
        <w:rPr>
          <w:rFonts w:ascii="Times New Roman" w:hAnsi="Times New Roman" w:cs="Times New Roman"/>
        </w:rPr>
        <w:t>Conditional Bids</w:t>
      </w:r>
      <w:bookmarkEnd w:id="52"/>
    </w:p>
    <w:p w:rsidR="009D26EE" w:rsidRDefault="0086338E" w:rsidP="00F435B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199"/>
      </w:pPr>
      <w:r w:rsidRPr="00534C0F">
        <w:rPr>
          <w:rFonts w:ascii="Times New Roman" w:hAnsi="Times New Roman" w:cs="Times New Roman"/>
        </w:rPr>
        <w:t>No conditional bids will be accepted.</w:t>
      </w:r>
    </w:p>
    <w:sectPr w:rsidR="009D26EE" w:rsidSect="0040120E">
      <w:headerReference w:type="default" r:id="rId16"/>
      <w:footerReference w:type="default" r:id="rId1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38" w:rsidRDefault="00397C38" w:rsidP="0086338E">
      <w:pPr>
        <w:spacing w:after="0" w:line="240" w:lineRule="auto"/>
      </w:pPr>
      <w:r>
        <w:separator/>
      </w:r>
    </w:p>
  </w:endnote>
  <w:endnote w:type="continuationSeparator" w:id="0">
    <w:p w:rsidR="00397C38" w:rsidRDefault="00397C38" w:rsidP="0086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pPr>
      <w:pStyle w:val="Footer"/>
      <w:pBdr>
        <w:top w:val="thinThickSmallGap" w:sz="33" w:space="0" w:color="800000"/>
      </w:pBdr>
      <w:tabs>
        <w:tab w:val="clear" w:pos="4680"/>
      </w:tabs>
    </w:pPr>
    <w:r>
      <w:t>2018 RFP for Vermont Standard-Offer Program</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pPr>
      <w:pStyle w:val="Footer"/>
      <w:pBdr>
        <w:top w:val="thinThickSmallGap" w:sz="33" w:space="0" w:color="800000"/>
      </w:pBdr>
      <w:tabs>
        <w:tab w:val="clear" w:pos="4680"/>
      </w:tabs>
    </w:pPr>
    <w:r>
      <w:t>Vermont RFP for Standard-Offer Projects</w:t>
    </w:r>
    <w:r>
      <w:tab/>
      <w:t xml:space="preserve">Page </w:t>
    </w: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pPr>
      <w:pStyle w:val="Footer"/>
      <w:pBdr>
        <w:top w:val="thinThickSmallGap" w:sz="33" w:space="0" w:color="800000"/>
      </w:pBdr>
      <w:tabs>
        <w:tab w:val="clear" w:pos="4680"/>
      </w:tabs>
    </w:pPr>
    <w:r>
      <w:t>2018 Vermont RFP for Standard-Offer Projects</w:t>
    </w:r>
    <w:r>
      <w:tab/>
      <w:t xml:space="preserve">Page </w:t>
    </w:r>
    <w: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pPr>
      <w:pStyle w:val="Footer"/>
      <w:pBdr>
        <w:top w:val="thinThickSmallGap" w:sz="33" w:space="0" w:color="800000"/>
      </w:pBdr>
      <w:tabs>
        <w:tab w:val="clear" w:pos="4680"/>
      </w:tabs>
    </w:pPr>
    <w:r>
      <w:t>2018 Vermont RFP for Standard-Offer Projects</w:t>
    </w:r>
    <w:r>
      <w:tab/>
      <w:t xml:space="preserve">Page </w:t>
    </w:r>
    <w: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pPr>
      <w:pStyle w:val="Footer"/>
      <w:pBdr>
        <w:top w:val="thinThickSmallGap" w:sz="33" w:space="0" w:color="800000"/>
      </w:pBdr>
      <w:tabs>
        <w:tab w:val="clear" w:pos="4680"/>
      </w:tabs>
    </w:pPr>
    <w:r>
      <w:t>Vermont RFP for Standard-Offer Projects</w:t>
    </w:r>
    <w:r>
      <w:tab/>
      <w:t xml:space="preserve">Page </w:t>
    </w: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38" w:rsidRDefault="00397C38" w:rsidP="0086338E">
      <w:pPr>
        <w:spacing w:after="0" w:line="240" w:lineRule="auto"/>
      </w:pPr>
      <w:r>
        <w:separator/>
      </w:r>
    </w:p>
  </w:footnote>
  <w:footnote w:type="continuationSeparator" w:id="0">
    <w:p w:rsidR="00397C38" w:rsidRDefault="00397C38" w:rsidP="0086338E">
      <w:pPr>
        <w:spacing w:after="0" w:line="240" w:lineRule="auto"/>
      </w:pPr>
      <w:r>
        <w:continuationSeparator/>
      </w:r>
    </w:p>
  </w:footnote>
  <w:footnote w:id="1">
    <w:p w:rsidR="00E13A03" w:rsidRDefault="00E13A03" w:rsidP="00C93E81">
      <w:pPr>
        <w:pStyle w:val="FootnoteText"/>
      </w:pPr>
      <w:r>
        <w:rPr>
          <w:rStyle w:val="FootnoteReference"/>
        </w:rPr>
        <w:footnoteRef/>
      </w:r>
      <w:r>
        <w:t xml:space="preserve"> </w:t>
      </w:r>
      <w:r w:rsidRPr="00197B2C">
        <w:t xml:space="preserve">VEPP Inc. </w:t>
      </w:r>
      <w:r>
        <w:t xml:space="preserve">(“VEPP”) serves as the Standard </w:t>
      </w:r>
      <w:r w:rsidRPr="00197B2C">
        <w:t xml:space="preserve">Offer Facilitator under </w:t>
      </w:r>
      <w:r>
        <w:t>contract to the Commission.</w:t>
      </w:r>
    </w:p>
  </w:footnote>
  <w:footnote w:id="2">
    <w:p w:rsidR="00E13A03" w:rsidRDefault="00E13A03" w:rsidP="00C93E81">
      <w:pPr>
        <w:pStyle w:val="FootnoteText"/>
      </w:pPr>
      <w:r>
        <w:rPr>
          <w:rStyle w:val="FootnoteReference"/>
        </w:rPr>
        <w:footnoteRef/>
      </w:r>
      <w:r>
        <w:t xml:space="preserve"> The </w:t>
      </w:r>
      <w:r w:rsidRPr="00493299">
        <w:t>Standard Offer Facilitator maintains a w</w:t>
      </w:r>
      <w:r>
        <w:t xml:space="preserve">ebsite for the program that includes the annual RFP and </w:t>
      </w:r>
      <w:r w:rsidRPr="00493299">
        <w:t>other inf</w:t>
      </w:r>
      <w:r>
        <w:t xml:space="preserve">ormation: </w:t>
      </w:r>
      <w:hyperlink r:id="rId1" w:history="1">
        <w:r w:rsidRPr="008939B3">
          <w:rPr>
            <w:rStyle w:val="Hyperlink"/>
            <w:rFonts w:cs="Calibri"/>
          </w:rPr>
          <w:t>http://www.vermontstandardoffer.com/</w:t>
        </w:r>
      </w:hyperlink>
      <w:r>
        <w:t xml:space="preserve">. </w:t>
      </w:r>
    </w:p>
  </w:footnote>
  <w:footnote w:id="3">
    <w:p w:rsidR="00E13A03" w:rsidRDefault="00E13A03">
      <w:pPr>
        <w:pStyle w:val="FootnoteText"/>
        <w:rPr>
          <w:rStyle w:val="Hyperlink"/>
        </w:rPr>
      </w:pPr>
      <w:r>
        <w:rPr>
          <w:rStyle w:val="FootnoteReference"/>
        </w:rPr>
        <w:footnoteRef/>
      </w:r>
      <w:r>
        <w:t xml:space="preserve"> </w:t>
      </w:r>
      <w:hyperlink r:id="rId2" w:history="1">
        <w:r w:rsidRPr="009911C5">
          <w:rPr>
            <w:rStyle w:val="Hyperlink"/>
          </w:rPr>
          <w:t>http://www.vermontstandardoffer.com/standard-offer-program-summary/</w:t>
        </w:r>
      </w:hyperlink>
    </w:p>
    <w:p w:rsidR="00E13A03" w:rsidRPr="00F06063" w:rsidRDefault="00E13A03">
      <w:pPr>
        <w:pStyle w:val="FootnoteText"/>
        <w:rPr>
          <w:sz w:val="6"/>
          <w:szCs w:val="6"/>
        </w:rPr>
      </w:pPr>
    </w:p>
  </w:footnote>
  <w:footnote w:id="4">
    <w:p w:rsidR="00E13A03" w:rsidRDefault="00E13A03" w:rsidP="00230EC9">
      <w:pPr>
        <w:pStyle w:val="FootnoteText"/>
      </w:pPr>
      <w:r>
        <w:rPr>
          <w:rStyle w:val="FootnoteReference"/>
        </w:rPr>
        <w:footnoteRef/>
      </w:r>
      <w:r>
        <w:t xml:space="preserve"> </w:t>
      </w:r>
      <w:bookmarkStart w:id="4" w:name="_GoBack"/>
      <w:bookmarkEnd w:id="4"/>
      <w:r w:rsidR="00B514BF">
        <w:fldChar w:fldCharType="begin"/>
      </w:r>
      <w:r w:rsidR="00B514BF">
        <w:instrText xml:space="preserve"> HYPERLINK "</w:instrText>
      </w:r>
      <w:r w:rsidR="00B514BF" w:rsidRPr="00B514BF">
        <w:instrText>http://www.vermontstandardoffer.com/qa-2018-rfp/</w:instrText>
      </w:r>
      <w:r w:rsidR="00B514BF">
        <w:instrText xml:space="preserve">" </w:instrText>
      </w:r>
      <w:r w:rsidR="00B514BF">
        <w:fldChar w:fldCharType="separate"/>
      </w:r>
      <w:r w:rsidR="00B514BF" w:rsidRPr="007125C4">
        <w:rPr>
          <w:rStyle w:val="Hyperlink"/>
        </w:rPr>
        <w:t>http://www.vermontstandardoffer.com/qa-2018-rfp/</w:t>
      </w:r>
      <w:r w:rsidR="00B514BF">
        <w:fldChar w:fldCharType="end"/>
      </w:r>
    </w:p>
  </w:footnote>
  <w:footnote w:id="5">
    <w:p w:rsidR="00E13A03" w:rsidRDefault="00E13A03" w:rsidP="002315DA">
      <w:pPr>
        <w:pStyle w:val="FootnoteText"/>
      </w:pPr>
      <w:r>
        <w:rPr>
          <w:rStyle w:val="FootnoteReference"/>
        </w:rPr>
        <w:footnoteRef/>
      </w:r>
      <w:r>
        <w:t xml:space="preserve"> More information on SHEI can be found at: </w:t>
      </w:r>
      <w:hyperlink r:id="rId3" w:history="1">
        <w:r w:rsidRPr="0054037E">
          <w:rPr>
            <w:rStyle w:val="Hyperlink"/>
            <w:rFonts w:cs="Calibri"/>
          </w:rPr>
          <w:t>https://www.vermontspc.com/grid-planning/shei-info</w:t>
        </w:r>
      </w:hyperlink>
      <w:r>
        <w:t xml:space="preserve">. </w:t>
      </w:r>
    </w:p>
  </w:footnote>
  <w:footnote w:id="6">
    <w:p w:rsidR="00E13A03" w:rsidRDefault="00E13A03">
      <w:pPr>
        <w:pStyle w:val="FootnoteText"/>
      </w:pPr>
      <w:r w:rsidRPr="00752AA3">
        <w:rPr>
          <w:rStyle w:val="FootnoteReference"/>
        </w:rPr>
        <w:footnoteRef/>
      </w:r>
      <w:r w:rsidRPr="00752AA3">
        <w:t xml:space="preserve"> The spreadsheet can be found at </w:t>
      </w:r>
      <w:hyperlink r:id="rId4" w:history="1">
        <w:r>
          <w:rPr>
            <w:rStyle w:val="Hyperlink"/>
          </w:rPr>
          <w:t>http://www.vermontstandardoffer.com/levelization-spreadsheet/</w:t>
        </w:r>
      </w:hyperlink>
      <w:r w:rsidRPr="00752AA3">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pP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03" w:rsidRDefault="00E13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F82"/>
    <w:multiLevelType w:val="multilevel"/>
    <w:tmpl w:val="B9C66C7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1AE03009"/>
    <w:multiLevelType w:val="hybridMultilevel"/>
    <w:tmpl w:val="037E41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216A5"/>
    <w:multiLevelType w:val="hybridMultilevel"/>
    <w:tmpl w:val="B3FE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070E2"/>
    <w:multiLevelType w:val="hybridMultilevel"/>
    <w:tmpl w:val="D466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94D0E"/>
    <w:multiLevelType w:val="multilevel"/>
    <w:tmpl w:val="B9C66C7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5E9F4C9D"/>
    <w:multiLevelType w:val="multilevel"/>
    <w:tmpl w:val="B9C66C7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60223D44"/>
    <w:multiLevelType w:val="hybridMultilevel"/>
    <w:tmpl w:val="2FB8F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369FA"/>
    <w:multiLevelType w:val="hybridMultilevel"/>
    <w:tmpl w:val="BEA8AA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3E20DD"/>
    <w:multiLevelType w:val="hybridMultilevel"/>
    <w:tmpl w:val="1FA8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8E"/>
    <w:rsid w:val="00003013"/>
    <w:rsid w:val="00005164"/>
    <w:rsid w:val="0000733D"/>
    <w:rsid w:val="00007C2F"/>
    <w:rsid w:val="0001546D"/>
    <w:rsid w:val="00044140"/>
    <w:rsid w:val="000451A3"/>
    <w:rsid w:val="00045DE2"/>
    <w:rsid w:val="00060019"/>
    <w:rsid w:val="00072FB5"/>
    <w:rsid w:val="00083B24"/>
    <w:rsid w:val="000A1132"/>
    <w:rsid w:val="000A70D8"/>
    <w:rsid w:val="000B6735"/>
    <w:rsid w:val="000D3495"/>
    <w:rsid w:val="000D3C00"/>
    <w:rsid w:val="000D5F48"/>
    <w:rsid w:val="00103651"/>
    <w:rsid w:val="00104D82"/>
    <w:rsid w:val="00114E0F"/>
    <w:rsid w:val="0012123A"/>
    <w:rsid w:val="001279E0"/>
    <w:rsid w:val="00133221"/>
    <w:rsid w:val="001400E6"/>
    <w:rsid w:val="00145E5E"/>
    <w:rsid w:val="0016152C"/>
    <w:rsid w:val="001655BB"/>
    <w:rsid w:val="001658C9"/>
    <w:rsid w:val="0016626E"/>
    <w:rsid w:val="0016799C"/>
    <w:rsid w:val="001759E5"/>
    <w:rsid w:val="001819F7"/>
    <w:rsid w:val="00197CF2"/>
    <w:rsid w:val="001A6B59"/>
    <w:rsid w:val="001B18CC"/>
    <w:rsid w:val="001C0486"/>
    <w:rsid w:val="001C369F"/>
    <w:rsid w:val="001C4E88"/>
    <w:rsid w:val="001C6AC4"/>
    <w:rsid w:val="001D2F34"/>
    <w:rsid w:val="001D3580"/>
    <w:rsid w:val="001D4A87"/>
    <w:rsid w:val="001E6723"/>
    <w:rsid w:val="00202D59"/>
    <w:rsid w:val="00213B70"/>
    <w:rsid w:val="002164BA"/>
    <w:rsid w:val="00230EC9"/>
    <w:rsid w:val="002315DA"/>
    <w:rsid w:val="00231861"/>
    <w:rsid w:val="00240A15"/>
    <w:rsid w:val="00242216"/>
    <w:rsid w:val="00245B30"/>
    <w:rsid w:val="00252B45"/>
    <w:rsid w:val="00257D8F"/>
    <w:rsid w:val="002607BB"/>
    <w:rsid w:val="0027371C"/>
    <w:rsid w:val="002832ED"/>
    <w:rsid w:val="00283CC0"/>
    <w:rsid w:val="002843D1"/>
    <w:rsid w:val="002856AB"/>
    <w:rsid w:val="00287CC6"/>
    <w:rsid w:val="00292789"/>
    <w:rsid w:val="002D2EB3"/>
    <w:rsid w:val="002E1998"/>
    <w:rsid w:val="0036307B"/>
    <w:rsid w:val="00364AE0"/>
    <w:rsid w:val="00372DE3"/>
    <w:rsid w:val="00381A8B"/>
    <w:rsid w:val="00381D97"/>
    <w:rsid w:val="00382F8C"/>
    <w:rsid w:val="00386D56"/>
    <w:rsid w:val="00397C38"/>
    <w:rsid w:val="003A4597"/>
    <w:rsid w:val="003B0202"/>
    <w:rsid w:val="003B2052"/>
    <w:rsid w:val="003B2649"/>
    <w:rsid w:val="003B5930"/>
    <w:rsid w:val="003E0FF5"/>
    <w:rsid w:val="003E6F2B"/>
    <w:rsid w:val="003F402F"/>
    <w:rsid w:val="00400E07"/>
    <w:rsid w:val="0040120E"/>
    <w:rsid w:val="00404E9B"/>
    <w:rsid w:val="00410399"/>
    <w:rsid w:val="00443E88"/>
    <w:rsid w:val="0046529D"/>
    <w:rsid w:val="00466574"/>
    <w:rsid w:val="00471D69"/>
    <w:rsid w:val="00474EBF"/>
    <w:rsid w:val="00480334"/>
    <w:rsid w:val="00483480"/>
    <w:rsid w:val="00487DF9"/>
    <w:rsid w:val="0049550A"/>
    <w:rsid w:val="004A002E"/>
    <w:rsid w:val="004A19B5"/>
    <w:rsid w:val="004A5452"/>
    <w:rsid w:val="004B4E83"/>
    <w:rsid w:val="004C5BC2"/>
    <w:rsid w:val="004F6FF4"/>
    <w:rsid w:val="00505054"/>
    <w:rsid w:val="00531948"/>
    <w:rsid w:val="00534C0F"/>
    <w:rsid w:val="00547B62"/>
    <w:rsid w:val="00567FF2"/>
    <w:rsid w:val="00583B81"/>
    <w:rsid w:val="00584D25"/>
    <w:rsid w:val="00595908"/>
    <w:rsid w:val="005960A2"/>
    <w:rsid w:val="005C0FCE"/>
    <w:rsid w:val="005C0FF6"/>
    <w:rsid w:val="005D393F"/>
    <w:rsid w:val="005E07F2"/>
    <w:rsid w:val="005E175E"/>
    <w:rsid w:val="005F6176"/>
    <w:rsid w:val="00600AB0"/>
    <w:rsid w:val="00613749"/>
    <w:rsid w:val="00617535"/>
    <w:rsid w:val="00626703"/>
    <w:rsid w:val="00636A41"/>
    <w:rsid w:val="006376C9"/>
    <w:rsid w:val="00642D12"/>
    <w:rsid w:val="006527DB"/>
    <w:rsid w:val="00671833"/>
    <w:rsid w:val="006928FD"/>
    <w:rsid w:val="0069769B"/>
    <w:rsid w:val="00697E41"/>
    <w:rsid w:val="006D2505"/>
    <w:rsid w:val="006E0ED6"/>
    <w:rsid w:val="006E7A75"/>
    <w:rsid w:val="006F66D2"/>
    <w:rsid w:val="00711396"/>
    <w:rsid w:val="007203D9"/>
    <w:rsid w:val="00732C5A"/>
    <w:rsid w:val="00735478"/>
    <w:rsid w:val="00737283"/>
    <w:rsid w:val="00752AA3"/>
    <w:rsid w:val="00764B60"/>
    <w:rsid w:val="00777757"/>
    <w:rsid w:val="007831F9"/>
    <w:rsid w:val="007838A7"/>
    <w:rsid w:val="00786335"/>
    <w:rsid w:val="00790A5A"/>
    <w:rsid w:val="007B0C71"/>
    <w:rsid w:val="007C1D35"/>
    <w:rsid w:val="007C580B"/>
    <w:rsid w:val="007D419C"/>
    <w:rsid w:val="007D4EAE"/>
    <w:rsid w:val="008120CC"/>
    <w:rsid w:val="00821D1A"/>
    <w:rsid w:val="00830E32"/>
    <w:rsid w:val="008318B4"/>
    <w:rsid w:val="00831999"/>
    <w:rsid w:val="00836E3B"/>
    <w:rsid w:val="00840C61"/>
    <w:rsid w:val="008431EB"/>
    <w:rsid w:val="00843E01"/>
    <w:rsid w:val="00844F7B"/>
    <w:rsid w:val="00852E6E"/>
    <w:rsid w:val="00861055"/>
    <w:rsid w:val="00863075"/>
    <w:rsid w:val="0086338E"/>
    <w:rsid w:val="00872FEF"/>
    <w:rsid w:val="008775A9"/>
    <w:rsid w:val="00886920"/>
    <w:rsid w:val="00892CD4"/>
    <w:rsid w:val="008A3908"/>
    <w:rsid w:val="008C11F5"/>
    <w:rsid w:val="008D05B0"/>
    <w:rsid w:val="008D65D2"/>
    <w:rsid w:val="008F3AF1"/>
    <w:rsid w:val="00914AE5"/>
    <w:rsid w:val="009303BB"/>
    <w:rsid w:val="0093714C"/>
    <w:rsid w:val="009374A8"/>
    <w:rsid w:val="00941D8D"/>
    <w:rsid w:val="00964330"/>
    <w:rsid w:val="00967813"/>
    <w:rsid w:val="00972AEB"/>
    <w:rsid w:val="00986573"/>
    <w:rsid w:val="0099401E"/>
    <w:rsid w:val="009960EF"/>
    <w:rsid w:val="009A155D"/>
    <w:rsid w:val="009A40F3"/>
    <w:rsid w:val="009B1ABF"/>
    <w:rsid w:val="009B27CB"/>
    <w:rsid w:val="009B344C"/>
    <w:rsid w:val="009B4882"/>
    <w:rsid w:val="009D26EE"/>
    <w:rsid w:val="009E000E"/>
    <w:rsid w:val="009F2B13"/>
    <w:rsid w:val="00A02E78"/>
    <w:rsid w:val="00A06B33"/>
    <w:rsid w:val="00A15335"/>
    <w:rsid w:val="00A26538"/>
    <w:rsid w:val="00A42998"/>
    <w:rsid w:val="00A509F0"/>
    <w:rsid w:val="00A52A32"/>
    <w:rsid w:val="00A57C91"/>
    <w:rsid w:val="00A6108B"/>
    <w:rsid w:val="00A73103"/>
    <w:rsid w:val="00A75EAA"/>
    <w:rsid w:val="00A83AF6"/>
    <w:rsid w:val="00A8689A"/>
    <w:rsid w:val="00A92116"/>
    <w:rsid w:val="00A95382"/>
    <w:rsid w:val="00A956FD"/>
    <w:rsid w:val="00AA486F"/>
    <w:rsid w:val="00AA6C73"/>
    <w:rsid w:val="00AA6D84"/>
    <w:rsid w:val="00AB0EA5"/>
    <w:rsid w:val="00AB6947"/>
    <w:rsid w:val="00AC6E13"/>
    <w:rsid w:val="00AC702C"/>
    <w:rsid w:val="00AC7AD8"/>
    <w:rsid w:val="00AD06C6"/>
    <w:rsid w:val="00AE1147"/>
    <w:rsid w:val="00AE1669"/>
    <w:rsid w:val="00AF78E8"/>
    <w:rsid w:val="00B01235"/>
    <w:rsid w:val="00B069E5"/>
    <w:rsid w:val="00B16370"/>
    <w:rsid w:val="00B16506"/>
    <w:rsid w:val="00B321D1"/>
    <w:rsid w:val="00B36117"/>
    <w:rsid w:val="00B37D72"/>
    <w:rsid w:val="00B37D79"/>
    <w:rsid w:val="00B514BF"/>
    <w:rsid w:val="00B5700A"/>
    <w:rsid w:val="00B72277"/>
    <w:rsid w:val="00B93E0B"/>
    <w:rsid w:val="00BB0F56"/>
    <w:rsid w:val="00BB3443"/>
    <w:rsid w:val="00BD6F31"/>
    <w:rsid w:val="00BD7554"/>
    <w:rsid w:val="00BE2FA8"/>
    <w:rsid w:val="00BE62E6"/>
    <w:rsid w:val="00BE7ADE"/>
    <w:rsid w:val="00BF0B82"/>
    <w:rsid w:val="00BF2B13"/>
    <w:rsid w:val="00BF3304"/>
    <w:rsid w:val="00BF53A1"/>
    <w:rsid w:val="00BF68BB"/>
    <w:rsid w:val="00C00920"/>
    <w:rsid w:val="00C03270"/>
    <w:rsid w:val="00C04CD0"/>
    <w:rsid w:val="00C1057E"/>
    <w:rsid w:val="00C13E5B"/>
    <w:rsid w:val="00C145F3"/>
    <w:rsid w:val="00C16B2A"/>
    <w:rsid w:val="00C42992"/>
    <w:rsid w:val="00C42A32"/>
    <w:rsid w:val="00C55DB4"/>
    <w:rsid w:val="00C623B6"/>
    <w:rsid w:val="00C6514C"/>
    <w:rsid w:val="00C670A6"/>
    <w:rsid w:val="00C93E81"/>
    <w:rsid w:val="00CA2863"/>
    <w:rsid w:val="00CC713A"/>
    <w:rsid w:val="00CD7FA2"/>
    <w:rsid w:val="00CE7225"/>
    <w:rsid w:val="00D103D1"/>
    <w:rsid w:val="00D1789C"/>
    <w:rsid w:val="00D22E5D"/>
    <w:rsid w:val="00D30C6E"/>
    <w:rsid w:val="00D41459"/>
    <w:rsid w:val="00D55C31"/>
    <w:rsid w:val="00D5760B"/>
    <w:rsid w:val="00D618C0"/>
    <w:rsid w:val="00D65D8C"/>
    <w:rsid w:val="00D70044"/>
    <w:rsid w:val="00D76BC8"/>
    <w:rsid w:val="00D919C2"/>
    <w:rsid w:val="00DB73ED"/>
    <w:rsid w:val="00DC2E4E"/>
    <w:rsid w:val="00DD1872"/>
    <w:rsid w:val="00DD672A"/>
    <w:rsid w:val="00DE1214"/>
    <w:rsid w:val="00E07DA8"/>
    <w:rsid w:val="00E13A03"/>
    <w:rsid w:val="00E23725"/>
    <w:rsid w:val="00E335E2"/>
    <w:rsid w:val="00E511E1"/>
    <w:rsid w:val="00E521D5"/>
    <w:rsid w:val="00E53E31"/>
    <w:rsid w:val="00E56AE1"/>
    <w:rsid w:val="00E60F8A"/>
    <w:rsid w:val="00E64792"/>
    <w:rsid w:val="00E64F57"/>
    <w:rsid w:val="00E725C9"/>
    <w:rsid w:val="00E85F39"/>
    <w:rsid w:val="00E86EC5"/>
    <w:rsid w:val="00E92EC0"/>
    <w:rsid w:val="00E93AA3"/>
    <w:rsid w:val="00E943C6"/>
    <w:rsid w:val="00E96B1C"/>
    <w:rsid w:val="00EA06BA"/>
    <w:rsid w:val="00EA5B89"/>
    <w:rsid w:val="00EB4981"/>
    <w:rsid w:val="00ED71E1"/>
    <w:rsid w:val="00EE1716"/>
    <w:rsid w:val="00EE74DE"/>
    <w:rsid w:val="00EF4E12"/>
    <w:rsid w:val="00F045E3"/>
    <w:rsid w:val="00F06063"/>
    <w:rsid w:val="00F109E9"/>
    <w:rsid w:val="00F15308"/>
    <w:rsid w:val="00F16F45"/>
    <w:rsid w:val="00F330A1"/>
    <w:rsid w:val="00F435BB"/>
    <w:rsid w:val="00F43934"/>
    <w:rsid w:val="00F47616"/>
    <w:rsid w:val="00F50EB8"/>
    <w:rsid w:val="00F54EB5"/>
    <w:rsid w:val="00F650E8"/>
    <w:rsid w:val="00F65D73"/>
    <w:rsid w:val="00F7223A"/>
    <w:rsid w:val="00F7264D"/>
    <w:rsid w:val="00F77DAC"/>
    <w:rsid w:val="00FA29CE"/>
    <w:rsid w:val="00FD3A64"/>
    <w:rsid w:val="00FD7D60"/>
    <w:rsid w:val="00FF4185"/>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3CDC0-B71A-4FED-8CA5-3F268C6A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3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6338E"/>
    <w:pPr>
      <w:spacing w:line="240" w:lineRule="auto"/>
    </w:pPr>
    <w:rPr>
      <w:sz w:val="20"/>
      <w:szCs w:val="20"/>
    </w:rPr>
  </w:style>
  <w:style w:type="character" w:customStyle="1" w:styleId="CommentTextChar">
    <w:name w:val="Comment Text Char"/>
    <w:basedOn w:val="DefaultParagraphFont"/>
    <w:link w:val="CommentText"/>
    <w:uiPriority w:val="99"/>
    <w:semiHidden/>
    <w:rsid w:val="0086338E"/>
    <w:rPr>
      <w:sz w:val="20"/>
      <w:szCs w:val="20"/>
    </w:rPr>
  </w:style>
  <w:style w:type="paragraph" w:styleId="Footer">
    <w:name w:val="footer"/>
    <w:basedOn w:val="Normal"/>
    <w:link w:val="FooterChar"/>
    <w:uiPriority w:val="99"/>
    <w:unhideWhenUsed/>
    <w:rsid w:val="0086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8E"/>
  </w:style>
  <w:style w:type="character" w:customStyle="1" w:styleId="CommentRefe">
    <w:name w:val="Comment Refe"/>
    <w:uiPriority w:val="99"/>
    <w:rsid w:val="0086338E"/>
    <w:rPr>
      <w:sz w:val="16"/>
      <w:szCs w:val="16"/>
    </w:rPr>
  </w:style>
  <w:style w:type="character" w:customStyle="1" w:styleId="SYSHYPERTEXT">
    <w:name w:val="SYS_HYPERTEXT"/>
    <w:uiPriority w:val="99"/>
    <w:rsid w:val="0086338E"/>
    <w:rPr>
      <w:color w:val="0000FF"/>
      <w:u w:val="single"/>
    </w:rPr>
  </w:style>
  <w:style w:type="paragraph" w:styleId="BalloonText">
    <w:name w:val="Balloon Text"/>
    <w:basedOn w:val="Normal"/>
    <w:link w:val="BalloonTextChar"/>
    <w:uiPriority w:val="99"/>
    <w:semiHidden/>
    <w:unhideWhenUsed/>
    <w:rsid w:val="0086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8E"/>
    <w:rPr>
      <w:rFonts w:ascii="Tahoma" w:hAnsi="Tahoma" w:cs="Tahoma"/>
      <w:sz w:val="16"/>
      <w:szCs w:val="16"/>
    </w:rPr>
  </w:style>
  <w:style w:type="character" w:customStyle="1" w:styleId="Heading1Char">
    <w:name w:val="Heading 1 Char"/>
    <w:basedOn w:val="DefaultParagraphFont"/>
    <w:link w:val="Heading1"/>
    <w:uiPriority w:val="9"/>
    <w:rsid w:val="0086338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6338E"/>
    <w:pPr>
      <w:outlineLvl w:val="9"/>
    </w:pPr>
    <w:rPr>
      <w:lang w:eastAsia="ja-JP"/>
    </w:rPr>
  </w:style>
  <w:style w:type="paragraph" w:styleId="TOC2">
    <w:name w:val="toc 2"/>
    <w:basedOn w:val="Normal"/>
    <w:next w:val="Normal"/>
    <w:autoRedefine/>
    <w:uiPriority w:val="39"/>
    <w:unhideWhenUsed/>
    <w:rsid w:val="008431EB"/>
    <w:pPr>
      <w:tabs>
        <w:tab w:val="right" w:leader="dot" w:pos="9350"/>
      </w:tabs>
      <w:spacing w:after="100"/>
    </w:pPr>
  </w:style>
  <w:style w:type="paragraph" w:styleId="TOC3">
    <w:name w:val="toc 3"/>
    <w:basedOn w:val="Normal"/>
    <w:next w:val="Normal"/>
    <w:autoRedefine/>
    <w:uiPriority w:val="39"/>
    <w:unhideWhenUsed/>
    <w:rsid w:val="0086338E"/>
    <w:pPr>
      <w:spacing w:after="100"/>
      <w:ind w:left="440"/>
    </w:pPr>
  </w:style>
  <w:style w:type="character" w:styleId="Hyperlink">
    <w:name w:val="Hyperlink"/>
    <w:basedOn w:val="DefaultParagraphFont"/>
    <w:uiPriority w:val="99"/>
    <w:unhideWhenUsed/>
    <w:rsid w:val="0086338E"/>
    <w:rPr>
      <w:color w:val="0000FF" w:themeColor="hyperlink"/>
      <w:u w:val="single"/>
    </w:rPr>
  </w:style>
  <w:style w:type="paragraph" w:styleId="TOC1">
    <w:name w:val="toc 1"/>
    <w:basedOn w:val="Normal"/>
    <w:next w:val="Normal"/>
    <w:autoRedefine/>
    <w:uiPriority w:val="39"/>
    <w:unhideWhenUsed/>
    <w:rsid w:val="001655BB"/>
    <w:pPr>
      <w:tabs>
        <w:tab w:val="right" w:leader="dot" w:pos="9350"/>
      </w:tabs>
      <w:spacing w:after="100"/>
    </w:pPr>
    <w:rPr>
      <w:rFonts w:ascii="Times New Roman" w:hAnsi="Times New Roman" w:cs="Times New Roman"/>
      <w:b/>
    </w:rPr>
  </w:style>
  <w:style w:type="character" w:customStyle="1" w:styleId="Heading2Char">
    <w:name w:val="Heading 2 Char"/>
    <w:basedOn w:val="DefaultParagraphFont"/>
    <w:link w:val="Heading2"/>
    <w:uiPriority w:val="9"/>
    <w:rsid w:val="008633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33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C0486"/>
    <w:pPr>
      <w:ind w:left="720"/>
      <w:contextualSpacing/>
    </w:pPr>
  </w:style>
  <w:style w:type="paragraph" w:styleId="FootnoteText">
    <w:name w:val="footnote text"/>
    <w:basedOn w:val="Normal"/>
    <w:link w:val="FootnoteTextChar"/>
    <w:uiPriority w:val="99"/>
    <w:unhideWhenUsed/>
    <w:rsid w:val="00DD18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D18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1872"/>
    <w:rPr>
      <w:rFonts w:cs="Times New Roman"/>
      <w:vertAlign w:val="superscript"/>
    </w:rPr>
  </w:style>
  <w:style w:type="paragraph" w:styleId="Header">
    <w:name w:val="header"/>
    <w:basedOn w:val="Normal"/>
    <w:link w:val="HeaderChar"/>
    <w:uiPriority w:val="99"/>
    <w:unhideWhenUsed/>
    <w:rsid w:val="008F3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F1"/>
  </w:style>
  <w:style w:type="paragraph" w:styleId="Revision">
    <w:name w:val="Revision"/>
    <w:hidden/>
    <w:uiPriority w:val="99"/>
    <w:semiHidden/>
    <w:rsid w:val="003E6F2B"/>
    <w:pPr>
      <w:spacing w:after="0" w:line="240" w:lineRule="auto"/>
    </w:pPr>
  </w:style>
  <w:style w:type="character" w:styleId="FollowedHyperlink">
    <w:name w:val="FollowedHyperlink"/>
    <w:basedOn w:val="DefaultParagraphFont"/>
    <w:uiPriority w:val="99"/>
    <w:semiHidden/>
    <w:unhideWhenUsed/>
    <w:rsid w:val="00B5700A"/>
    <w:rPr>
      <w:color w:val="800080" w:themeColor="followedHyperlink"/>
      <w:u w:val="single"/>
    </w:rPr>
  </w:style>
  <w:style w:type="paragraph" w:styleId="EndnoteText">
    <w:name w:val="endnote text"/>
    <w:basedOn w:val="Normal"/>
    <w:link w:val="EndnoteTextChar"/>
    <w:uiPriority w:val="99"/>
    <w:semiHidden/>
    <w:unhideWhenUsed/>
    <w:rsid w:val="00FF71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1EA"/>
    <w:rPr>
      <w:sz w:val="20"/>
      <w:szCs w:val="20"/>
    </w:rPr>
  </w:style>
  <w:style w:type="character" w:styleId="EndnoteReference">
    <w:name w:val="endnote reference"/>
    <w:basedOn w:val="DefaultParagraphFont"/>
    <w:uiPriority w:val="99"/>
    <w:semiHidden/>
    <w:unhideWhenUsed/>
    <w:rsid w:val="00FF7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72801">
      <w:bodyDiv w:val="1"/>
      <w:marLeft w:val="0"/>
      <w:marRight w:val="0"/>
      <w:marTop w:val="0"/>
      <w:marBottom w:val="0"/>
      <w:divBdr>
        <w:top w:val="none" w:sz="0" w:space="0" w:color="auto"/>
        <w:left w:val="none" w:sz="0" w:space="0" w:color="auto"/>
        <w:bottom w:val="none" w:sz="0" w:space="0" w:color="auto"/>
        <w:right w:val="none" w:sz="0" w:space="0" w:color="auto"/>
      </w:divBdr>
    </w:div>
    <w:div w:id="11742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montstandardoffer.com/sop-contract-requirements/http://www.vermontstandardoffer.com/sop-contract-requirement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vermontspc.com/grid-planning/shei-info" TargetMode="External"/><Relationship Id="rId2" Type="http://schemas.openxmlformats.org/officeDocument/2006/relationships/hyperlink" Target="http://www.vermontstandardoffer.com/standard-offer-program-summary/" TargetMode="External"/><Relationship Id="rId1" Type="http://schemas.openxmlformats.org/officeDocument/2006/relationships/hyperlink" Target="http://www.vermontstandardoffer.com/" TargetMode="External"/><Relationship Id="rId4" Type="http://schemas.openxmlformats.org/officeDocument/2006/relationships/hyperlink" Target="http://www.vermontstandardoffer.com/levelization-spread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592A-526D-4D54-97AD-456A03B4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jmarren</dc:creator>
  <cp:keywords/>
  <dc:description/>
  <cp:lastModifiedBy>Ioana Drew</cp:lastModifiedBy>
  <cp:revision>3</cp:revision>
  <cp:lastPrinted>2018-03-22T19:11:00Z</cp:lastPrinted>
  <dcterms:created xsi:type="dcterms:W3CDTF">2018-03-23T19:20:00Z</dcterms:created>
  <dcterms:modified xsi:type="dcterms:W3CDTF">2018-03-23T19:20:00Z</dcterms:modified>
</cp:coreProperties>
</file>